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4E314" w14:textId="53F9BD94" w:rsidR="00A657B7" w:rsidRDefault="00245051" w:rsidP="000B28DC">
      <w:pPr>
        <w:widowControl w:val="0"/>
        <w:tabs>
          <w:tab w:val="left" w:pos="2409"/>
        </w:tabs>
        <w:spacing w:before="0" w:after="0" w:line="276" w:lineRule="auto"/>
        <w:ind w:left="0"/>
        <w:jc w:val="left"/>
      </w:pPr>
      <w:r>
        <w:rPr>
          <w:noProof/>
        </w:rPr>
        <mc:AlternateContent>
          <mc:Choice Requires="wpg">
            <w:drawing>
              <wp:anchor distT="0" distB="0" distL="114300" distR="114300" simplePos="0" relativeHeight="502791680" behindDoc="0" locked="0" layoutInCell="0" allowOverlap="1" wp14:anchorId="5144557B" wp14:editId="4590374F">
                <wp:simplePos x="0" y="0"/>
                <wp:positionH relativeFrom="column">
                  <wp:posOffset>635</wp:posOffset>
                </wp:positionH>
                <wp:positionV relativeFrom="paragraph">
                  <wp:posOffset>0</wp:posOffset>
                </wp:positionV>
                <wp:extent cx="0" cy="631825"/>
                <wp:effectExtent l="0" t="0" r="0" b="0"/>
                <wp:wrapNone/>
                <wp:docPr id="1" name="Freeform: Shape 1"/>
                <wp:cNvGraphicFramePr/>
                <a:graphic xmlns:a="http://schemas.openxmlformats.org/drawingml/2006/main">
                  <a:graphicData uri="http://schemas.microsoft.com/office/word/2010/wordprocessingShape">
                    <wps:wsp>
                      <wps:cNvSpPr/>
                      <wps:spPr bwMode="auto">
                        <a:xfrm>
                          <a:off x="0" y="0"/>
                          <a:ext cx="0" cy="631825"/>
                        </a:xfrm>
                        <a:custGeom>
                          <a:avLst>
                            <a:gd name="adj0" fmla="val 0"/>
                            <a:gd name="adj1" fmla="val 0"/>
                            <a:gd name="adj2" fmla="val 0"/>
                          </a:avLst>
                          <a:gdLst>
                            <a:gd name="gd0" fmla="val 65536"/>
                            <a:gd name="gd1" fmla="val 0"/>
                            <a:gd name="gd2" fmla="val 0"/>
                            <a:gd name="gd3" fmla="val 0"/>
                            <a:gd name="gd4" fmla="val 0"/>
                            <a:gd name="gd5" fmla="val 1"/>
                            <a:gd name="gd6" fmla="val 0"/>
                            <a:gd name="gd7" fmla="val 0"/>
                            <a:gd name="gd8" fmla="val 0"/>
                            <a:gd name="gd9" fmla="val 1"/>
                            <a:gd name="gd10" fmla="val 0"/>
                            <a:gd name="gd11" fmla="val 0"/>
                            <a:gd name="gd12" fmla="val 0"/>
                            <a:gd name="gd13" fmla="val 0"/>
                            <a:gd name="gd14" fmla="val 0"/>
                            <a:gd name="gd15" fmla="val 1"/>
                            <a:gd name="gd16" fmla="val 1756"/>
                            <a:gd name="gd17" fmla="val 0"/>
                            <a:gd name="gd18" fmla="val 0"/>
                            <a:gd name="gd19" fmla="val 1"/>
                            <a:gd name="gd20" fmla="val 1756"/>
                            <a:gd name="gd21" fmla="*/ w 0 2"/>
                            <a:gd name="gd22" fmla="*/ h 0 1757"/>
                            <a:gd name="gd23" fmla="*/ w 21600 2"/>
                            <a:gd name="gd24" fmla="*/ h 21600 1757"/>
                          </a:gdLst>
                          <a:ahLst/>
                          <a:cxnLst/>
                          <a:rect l="gd21" t="gd22" r="gd23" b="gd24"/>
                          <a:pathLst>
                            <a:path w="2" h="1757" extrusionOk="0">
                              <a:moveTo>
                                <a:pt x="gd1" y="gd2"/>
                              </a:moveTo>
                              <a:lnTo>
                                <a:pt x="gd3" y="gd4"/>
                              </a:lnTo>
                              <a:close/>
                              <a:moveTo>
                                <a:pt x="gd5" y="gd6"/>
                              </a:moveTo>
                              <a:lnTo>
                                <a:pt x="gd7" y="gd8"/>
                              </a:lnTo>
                              <a:lnTo>
                                <a:pt x="gd9" y="gd10"/>
                              </a:lnTo>
                              <a:close/>
                              <a:moveTo>
                                <a:pt x="gd11" y="gd12"/>
                              </a:moveTo>
                              <a:lnTo>
                                <a:pt x="gd13" y="gd14"/>
                              </a:lnTo>
                              <a:close/>
                              <a:moveTo>
                                <a:pt x="gd15" y="gd16"/>
                              </a:moveTo>
                              <a:lnTo>
                                <a:pt x="gd17" y="gd18"/>
                              </a:lnTo>
                              <a:lnTo>
                                <a:pt x="gd19" y="gd20"/>
                              </a:lnTo>
                              <a:close/>
                            </a:path>
                            <a:path w="2" h="1757" extrusionOk="0"/>
                          </a:pathLst>
                        </a:custGeom>
                        <a:noFill/>
                        <a:ln>
                          <a:solidFill>
                            <a:srgbClr val="000000"/>
                          </a:solidFill>
                          <a:round/>
                        </a:ln>
                      </wps:spPr>
                      <wps:bodyPr rot="0">
                        <a:prstTxWarp prst="textNoShape">
                          <a:avLst/>
                        </a:prstTxWarp>
                        <a:noAutofit/>
                      </wps:bodyPr>
                    </wps:wsp>
                  </a:graphicData>
                </a:graphic>
              </wp:anchor>
            </w:drawing>
          </mc:Choice>
          <mc:Fallback xmlns:a="http://schemas.openxmlformats.org/drawingml/2006/main">
            <w:pict>
              <v:shape id="shape 0" o:spid="_x0000_s0" style="position:absolute;mso-wrap-distance-left:9.0pt;mso-wrap-distance-top:0.0pt;mso-wrap-distance-right:9.0pt;mso-wrap-distance-bottom:0.0pt;z-index:502791680;o:allowoverlap:true;o:allowincell:false;mso-position-horizontal-relative:text;margin-left:0.0pt;mso-position-horizontal:absolute;mso-position-vertical-relative:text;margin-top:0.0pt;mso-position-vertical:absolute;width:0.0pt;height:49.8pt;" coordsize="100000,100000" path="m0,0l0,0xm0,0l0,0l0,0xm0,0l0,0xm0,99942l0,0l0,99942xee" filled="f" strokecolor="#000000">
                <v:path textboxrect="0,0,1080000000,1229368"/>
              </v:shape>
            </w:pict>
          </mc:Fallback>
        </mc:AlternateContent>
      </w:r>
    </w:p>
    <w:p w14:paraId="7E884ED4" w14:textId="77777777" w:rsidR="00A657B7" w:rsidRDefault="00A657B7">
      <w:pPr>
        <w:spacing w:before="0" w:after="0"/>
        <w:ind w:right="2552" w:firstLine="720"/>
        <w:jc w:val="right"/>
      </w:pPr>
    </w:p>
    <w:p w14:paraId="65027C90"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r>
        <w:rPr>
          <w:noProof/>
        </w:rPr>
        <w:drawing>
          <wp:inline distT="0" distB="0" distL="0" distR="0" wp14:anchorId="5165B5E8" wp14:editId="460070A7">
            <wp:extent cx="6033135" cy="1134110"/>
            <wp:effectExtent l="0" t="0" r="5715" b="8890"/>
            <wp:docPr id="95938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38339" name="Pictur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3135" cy="1134110"/>
                    </a:xfrm>
                    <a:prstGeom prst="rect">
                      <a:avLst/>
                    </a:prstGeom>
                    <a:noFill/>
                  </pic:spPr>
                </pic:pic>
              </a:graphicData>
            </a:graphic>
          </wp:inline>
        </w:drawing>
      </w:r>
    </w:p>
    <w:p w14:paraId="2B718F95"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3E9E16DA"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51DF8D39"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0839B05B"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0"/>
        <w:jc w:val="right"/>
        <w:rPr>
          <w:b/>
          <w:bCs/>
          <w:color w:val="1C6194"/>
          <w:kern w:val="2"/>
          <w14:ligatures w14:val="standardContextual"/>
        </w:rPr>
      </w:pPr>
    </w:p>
    <w:p w14:paraId="282F5512"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olor w:val="1C6194"/>
          <w:kern w:val="2"/>
          <w14:ligatures w14:val="standardContextual"/>
        </w:rPr>
      </w:pPr>
    </w:p>
    <w:p w14:paraId="3ADF6E5A"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olor w:val="1C6194"/>
          <w:kern w:val="2"/>
          <w14:ligatures w14:val="standardContextual"/>
        </w:rPr>
      </w:pPr>
      <w:r w:rsidRPr="00864943">
        <w:rPr>
          <w:b/>
          <w:bCs/>
          <w:color w:val="1C6194"/>
          <w:kern w:val="2"/>
          <w14:ligatures w14:val="standardContextual"/>
        </w:rPr>
        <w:t>APELURILE DE PROIECTE</w:t>
      </w:r>
    </w:p>
    <w:p w14:paraId="2899523B"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r w:rsidRPr="00864943">
        <w:rPr>
          <w:b/>
          <w:bCs/>
          <w:color w:val="1C6194"/>
          <w:kern w:val="2"/>
          <w14:ligatures w14:val="standardContextual"/>
        </w:rPr>
        <w:t xml:space="preserve">Prioritățile 1- 6 - </w:t>
      </w:r>
      <w:r w:rsidRPr="00864943">
        <w:rPr>
          <w:color w:val="1C6194"/>
          <w:kern w:val="2"/>
          <w14:ligatures w14:val="standardContextual"/>
        </w:rPr>
        <w:t>Atenuarea impactului socio-economic al tranziției la neutralitatea climatică în județele GORJ, HUNEDOARA, DOLJ, GALAȚI, PRAHOVA ȘI MUREȘ</w:t>
      </w:r>
    </w:p>
    <w:p w14:paraId="1CF46B9D"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p>
    <w:p w14:paraId="67D13921"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14:ligatures w14:val="standardContextual"/>
        </w:rPr>
      </w:pPr>
      <w:r w:rsidRPr="00864943">
        <w:rPr>
          <w:b/>
          <w:bCs/>
          <w:color w:val="1C6194"/>
          <w:kern w:val="2"/>
          <w14:ligatures w14:val="standardContextual"/>
        </w:rPr>
        <w:t>Obiectivului specific JSO 8.1.</w:t>
      </w:r>
      <w:r w:rsidRPr="00864943">
        <w:rPr>
          <w:color w:val="1C6194"/>
          <w:kern w:val="2"/>
          <w14:ligatures w14:val="standardContextual"/>
        </w:rPr>
        <w:t xml:space="preserve"> – 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p w14:paraId="608991AF"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sz w:val="24"/>
          <w:szCs w:val="24"/>
          <w14:ligatures w14:val="standardContextual"/>
        </w:rPr>
      </w:pPr>
    </w:p>
    <w:p w14:paraId="18A6D998"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olor w:val="1C6194"/>
          <w:kern w:val="2"/>
          <w:sz w:val="24"/>
          <w:szCs w:val="24"/>
          <w14:ligatures w14:val="standardContextual"/>
        </w:rPr>
      </w:pPr>
    </w:p>
    <w:p w14:paraId="53F648BA"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caps/>
          <w:color w:val="1C6194"/>
          <w:kern w:val="2"/>
          <w:sz w:val="24"/>
          <w:szCs w:val="24"/>
          <w14:ligatures w14:val="standardContextual"/>
        </w:rPr>
      </w:pPr>
    </w:p>
    <w:p w14:paraId="2A50DD5D"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jc w:val="right"/>
        <w:rPr>
          <w:b/>
          <w:bCs/>
          <w:caps/>
          <w:color w:val="1C6194"/>
          <w:kern w:val="2"/>
          <w:sz w:val="24"/>
          <w:szCs w:val="24"/>
          <w14:ligatures w14:val="standardContextual"/>
        </w:rPr>
      </w:pPr>
      <w:bookmarkStart w:id="0" w:name="_Hlk206677700"/>
      <w:r w:rsidRPr="00864943">
        <w:rPr>
          <w:b/>
          <w:bCs/>
          <w:caps/>
          <w:color w:val="1C6194"/>
          <w:kern w:val="2"/>
          <w:sz w:val="24"/>
          <w:szCs w:val="24"/>
          <w14:ligatures w14:val="standardContextual"/>
        </w:rPr>
        <w:t xml:space="preserve">Apeluri de proiecte - </w:t>
      </w:r>
      <w:r w:rsidRPr="00864943">
        <w:rPr>
          <w:b/>
          <w:bCs/>
          <w:color w:val="1C6194"/>
          <w:kern w:val="2"/>
          <w:sz w:val="24"/>
          <w:szCs w:val="24"/>
          <w14:ligatures w14:val="standardContextual"/>
        </w:rPr>
        <w:t xml:space="preserve">Energie verde accesibilă și mobilitate nepoluantă – componenta </w:t>
      </w:r>
      <w:r>
        <w:rPr>
          <w:b/>
          <w:bCs/>
          <w:color w:val="1C6194"/>
          <w:kern w:val="2"/>
          <w:sz w:val="24"/>
          <w:szCs w:val="24"/>
          <w:lang w:val="en-US"/>
          <w14:ligatures w14:val="standardContextual"/>
        </w:rPr>
        <w:t>“</w:t>
      </w:r>
      <w:bookmarkStart w:id="1" w:name="_Hlk213243714"/>
      <w:r w:rsidRPr="00864943">
        <w:rPr>
          <w:b/>
          <w:bCs/>
          <w:color w:val="1C6194"/>
          <w:kern w:val="2"/>
          <w:sz w:val="24"/>
          <w:szCs w:val="24"/>
          <w14:ligatures w14:val="standardContextual"/>
        </w:rPr>
        <w:t>Dezvoltarea surselor de energie regenerabilă  în perspectiva creării comunităților de energie</w:t>
      </w:r>
      <w:bookmarkEnd w:id="1"/>
      <w:r>
        <w:rPr>
          <w:b/>
          <w:bCs/>
          <w:color w:val="1C6194"/>
          <w:kern w:val="2"/>
          <w:sz w:val="24"/>
          <w:szCs w:val="24"/>
          <w14:ligatures w14:val="standardContextual"/>
        </w:rPr>
        <w:t>”</w:t>
      </w:r>
    </w:p>
    <w:p w14:paraId="7B4911CC"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left="0"/>
        <w:rPr>
          <w:color w:val="1C6194"/>
          <w:kern w:val="2"/>
          <w:sz w:val="24"/>
          <w:szCs w:val="24"/>
          <w14:ligatures w14:val="standardContextual"/>
        </w:rPr>
      </w:pPr>
      <w:bookmarkStart w:id="2" w:name="_Hlk170026223"/>
      <w:bookmarkEnd w:id="0"/>
    </w:p>
    <w:p w14:paraId="3D3CB738"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line="360" w:lineRule="auto"/>
        <w:ind w:right="9" w:firstLine="720"/>
        <w:jc w:val="right"/>
        <w:rPr>
          <w:color w:val="1C6194"/>
        </w:rPr>
      </w:pPr>
      <w:r w:rsidRPr="00864943">
        <w:rPr>
          <w:color w:val="1C6194"/>
          <w:kern w:val="2"/>
          <w:sz w:val="24"/>
          <w:szCs w:val="24"/>
          <w14:ligatures w14:val="standardContextual"/>
        </w:rPr>
        <w:t xml:space="preserve">                           </w:t>
      </w:r>
      <w:r w:rsidRPr="00864943">
        <w:rPr>
          <w:color w:val="1C6194"/>
          <w:kern w:val="2"/>
          <w:sz w:val="24"/>
          <w:szCs w:val="24"/>
          <w14:ligatures w14:val="standardContextual"/>
        </w:rPr>
        <w:tab/>
      </w:r>
      <w:r w:rsidRPr="00864943">
        <w:rPr>
          <w:color w:val="1C6194"/>
          <w:kern w:val="2"/>
          <w:sz w:val="24"/>
          <w:szCs w:val="24"/>
          <w14:ligatures w14:val="standardContextual"/>
        </w:rPr>
        <w:tab/>
        <w:t>Programul de Tranziție Justă 2021-2027</w:t>
      </w:r>
      <w:bookmarkEnd w:id="2"/>
    </w:p>
    <w:p w14:paraId="5D4DBFC6"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rPr>
          <w:b/>
          <w:color w:val="3494BA"/>
        </w:rPr>
      </w:pPr>
    </w:p>
    <w:p w14:paraId="0AC3065E"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6D80C27"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5957235C"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EF46F89"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0267E94A" w14:textId="77777777" w:rsidR="000B28DC"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676D5B93"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695F103C"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right"/>
      </w:pPr>
    </w:p>
    <w:p w14:paraId="7EFECBF9"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right="2552" w:firstLine="720"/>
        <w:jc w:val="center"/>
        <w:rPr>
          <w:color w:val="1C6194"/>
        </w:rPr>
      </w:pPr>
      <w:r w:rsidRPr="00864943">
        <w:rPr>
          <w:color w:val="1C6194"/>
        </w:rPr>
        <w:t>Apelurile de proiecte (cod apel MySMIS)</w:t>
      </w:r>
    </w:p>
    <w:p w14:paraId="0FE40B2B"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PTJ/P1/.../GJ (proiecte implementate în județul Gorj)</w:t>
      </w:r>
    </w:p>
    <w:p w14:paraId="3A8D1FE7"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PTJ/P2/.../HD(proiecte implementate în județul Hunedoara)</w:t>
      </w:r>
    </w:p>
    <w:p w14:paraId="530DABFF"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PTJ/P2/.../HD/ITI VJ (proiecte implementate în</w:t>
      </w:r>
      <w:r>
        <w:rPr>
          <w:color w:val="1C6194"/>
          <w:sz w:val="20"/>
          <w:szCs w:val="20"/>
        </w:rPr>
        <w:t xml:space="preserve"> </w:t>
      </w:r>
      <w:r w:rsidRPr="00864943">
        <w:rPr>
          <w:color w:val="1C6194"/>
          <w:sz w:val="20"/>
          <w:szCs w:val="20"/>
        </w:rPr>
        <w:t xml:space="preserve"> Valea Jiului) </w:t>
      </w:r>
    </w:p>
    <w:p w14:paraId="4E8C2FA0"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PTJ/P3/.../DJ (proiecte implementate în</w:t>
      </w:r>
      <w:r>
        <w:rPr>
          <w:color w:val="1C6194"/>
          <w:sz w:val="20"/>
          <w:szCs w:val="20"/>
        </w:rPr>
        <w:t xml:space="preserve"> județul Dolj</w:t>
      </w:r>
      <w:r w:rsidRPr="00864943">
        <w:rPr>
          <w:color w:val="1C6194"/>
          <w:sz w:val="20"/>
          <w:szCs w:val="20"/>
        </w:rPr>
        <w:t>)</w:t>
      </w:r>
    </w:p>
    <w:p w14:paraId="730BECBB"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 xml:space="preserve">PTJ/P4/.../GL (proiecte implementate în  </w:t>
      </w:r>
      <w:r>
        <w:rPr>
          <w:color w:val="1C6194"/>
          <w:sz w:val="20"/>
          <w:szCs w:val="20"/>
        </w:rPr>
        <w:t>județul Gorj</w:t>
      </w:r>
      <w:r w:rsidRPr="00864943">
        <w:rPr>
          <w:color w:val="1C6194"/>
          <w:sz w:val="20"/>
          <w:szCs w:val="20"/>
        </w:rPr>
        <w:t>)</w:t>
      </w:r>
    </w:p>
    <w:p w14:paraId="2B85B972"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PTJ/P5/.../PH (proiecte implementate în  județul</w:t>
      </w:r>
      <w:r>
        <w:rPr>
          <w:color w:val="1C6194"/>
          <w:sz w:val="20"/>
          <w:szCs w:val="20"/>
        </w:rPr>
        <w:t xml:space="preserve"> Prahova</w:t>
      </w:r>
      <w:r w:rsidRPr="00864943">
        <w:rPr>
          <w:color w:val="1C6194"/>
          <w:sz w:val="20"/>
          <w:szCs w:val="20"/>
        </w:rPr>
        <w:t>)</w:t>
      </w:r>
    </w:p>
    <w:p w14:paraId="44281977" w14:textId="77777777" w:rsidR="000B28DC" w:rsidRPr="00864943" w:rsidRDefault="000B28DC" w:rsidP="000B28DC">
      <w:pPr>
        <w:pBdr>
          <w:top w:val="none" w:sz="0" w:space="0" w:color="auto"/>
          <w:left w:val="none" w:sz="0" w:space="0" w:color="auto"/>
          <w:bottom w:val="none" w:sz="0" w:space="0" w:color="auto"/>
          <w:right w:val="none" w:sz="0" w:space="0" w:color="auto"/>
          <w:between w:val="none" w:sz="0" w:space="0" w:color="auto"/>
        </w:pBdr>
        <w:spacing w:before="0" w:after="0"/>
        <w:ind w:left="1710" w:right="2552" w:firstLine="90"/>
        <w:rPr>
          <w:color w:val="1C6194"/>
          <w:sz w:val="20"/>
          <w:szCs w:val="20"/>
        </w:rPr>
      </w:pPr>
      <w:r w:rsidRPr="00864943">
        <w:rPr>
          <w:color w:val="1C6194"/>
          <w:sz w:val="20"/>
          <w:szCs w:val="20"/>
        </w:rPr>
        <w:t>PTJ/P6/.../MS (proiecte implementate în  județul</w:t>
      </w:r>
      <w:r>
        <w:rPr>
          <w:color w:val="1C6194"/>
          <w:sz w:val="20"/>
          <w:szCs w:val="20"/>
        </w:rPr>
        <w:t xml:space="preserve"> Mureș</w:t>
      </w:r>
      <w:r w:rsidRPr="00864943">
        <w:rPr>
          <w:color w:val="1C6194"/>
          <w:sz w:val="20"/>
          <w:szCs w:val="20"/>
        </w:rPr>
        <w:t>)</w:t>
      </w:r>
    </w:p>
    <w:p w14:paraId="39D9B599" w14:textId="73B43FDA" w:rsidR="00A657B7" w:rsidRDefault="00245051">
      <w:pPr>
        <w:spacing w:before="0" w:after="0"/>
        <w:ind w:right="2552" w:firstLine="720"/>
        <w:jc w:val="right"/>
        <w:rPr>
          <w:b/>
        </w:rPr>
      </w:pPr>
      <w:r>
        <w:br w:type="page"/>
      </w:r>
    </w:p>
    <w:p w14:paraId="70186E7E" w14:textId="77777777" w:rsidR="00A657B7" w:rsidRDefault="00245051">
      <w:pPr>
        <w:ind w:firstLine="720"/>
        <w:rPr>
          <w:color w:val="3494BA"/>
          <w:sz w:val="36"/>
          <w:szCs w:val="36"/>
        </w:rPr>
      </w:pPr>
      <w:r>
        <w:rPr>
          <w:color w:val="3494BA"/>
          <w:sz w:val="36"/>
          <w:szCs w:val="36"/>
        </w:rPr>
        <w:lastRenderedPageBreak/>
        <w:t>Cuprins</w:t>
      </w:r>
    </w:p>
    <w:sdt>
      <w:sdtPr>
        <w:rPr>
          <w:rFonts w:ascii="Calibri" w:eastAsia="Calibri" w:hAnsi="Calibri" w:cs="Calibri"/>
          <w:color w:val="auto"/>
          <w:sz w:val="22"/>
          <w:szCs w:val="22"/>
          <w:lang w:val="ro-RO"/>
        </w:rPr>
        <w:id w:val="-978070033"/>
        <w:docPartObj>
          <w:docPartGallery w:val="Table of Contents"/>
          <w:docPartUnique/>
        </w:docPartObj>
      </w:sdtPr>
      <w:sdtEndPr/>
      <w:sdtContent>
        <w:p w14:paraId="7453D5A6" w14:textId="77777777" w:rsidR="00A657B7" w:rsidRDefault="00245051">
          <w:pPr>
            <w:pStyle w:val="TOCHeading"/>
          </w:pPr>
          <w:r>
            <w:rPr>
              <w:lang w:val="ro-RO"/>
            </w:rPr>
            <w:t>Cuprins</w:t>
          </w:r>
        </w:p>
        <w:p w14:paraId="789EE203" w14:textId="7CB2A1D7" w:rsidR="00B330F8" w:rsidRDefault="0024505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fldChar w:fldCharType="begin"/>
          </w:r>
          <w:r>
            <w:instrText xml:space="preserve"> TOC \o "1-3" \h \z \u </w:instrText>
          </w:r>
          <w:r>
            <w:fldChar w:fldCharType="separate"/>
          </w:r>
          <w:hyperlink w:anchor="_Toc213405523" w:history="1">
            <w:r w:rsidR="00B330F8" w:rsidRPr="00CD1CF1">
              <w:rPr>
                <w:rStyle w:val="Hyperlink"/>
                <w:noProof/>
              </w:rPr>
              <w:t>1</w:t>
            </w:r>
            <w:r w:rsidR="00B330F8">
              <w:rPr>
                <w:rFonts w:asciiTheme="minorHAnsi" w:eastAsiaTheme="minorEastAsia" w:hAnsiTheme="minorHAnsi" w:cstheme="minorBidi"/>
                <w:noProof/>
                <w:kern w:val="2"/>
                <w:sz w:val="24"/>
                <w:szCs w:val="24"/>
                <w:lang w:val="en-US"/>
                <w14:ligatures w14:val="standardContextual"/>
              </w:rPr>
              <w:tab/>
            </w:r>
            <w:r w:rsidR="00B330F8" w:rsidRPr="00CD1CF1">
              <w:rPr>
                <w:rStyle w:val="Hyperlink"/>
                <w:noProof/>
              </w:rPr>
              <w:t>PREAMBUL, ABREVIERI ȘI GLOSAR</w:t>
            </w:r>
            <w:r w:rsidR="00B330F8">
              <w:rPr>
                <w:noProof/>
                <w:webHidden/>
              </w:rPr>
              <w:tab/>
            </w:r>
            <w:r w:rsidR="00B330F8">
              <w:rPr>
                <w:noProof/>
                <w:webHidden/>
              </w:rPr>
              <w:fldChar w:fldCharType="begin"/>
            </w:r>
            <w:r w:rsidR="00B330F8">
              <w:rPr>
                <w:noProof/>
                <w:webHidden/>
              </w:rPr>
              <w:instrText xml:space="preserve"> PAGEREF _Toc213405523 \h </w:instrText>
            </w:r>
            <w:r w:rsidR="00B330F8">
              <w:rPr>
                <w:noProof/>
                <w:webHidden/>
              </w:rPr>
            </w:r>
            <w:r w:rsidR="00B330F8">
              <w:rPr>
                <w:noProof/>
                <w:webHidden/>
              </w:rPr>
              <w:fldChar w:fldCharType="separate"/>
            </w:r>
            <w:r w:rsidR="00787F56">
              <w:rPr>
                <w:noProof/>
                <w:webHidden/>
              </w:rPr>
              <w:t>5</w:t>
            </w:r>
            <w:r w:rsidR="00B330F8">
              <w:rPr>
                <w:noProof/>
                <w:webHidden/>
              </w:rPr>
              <w:fldChar w:fldCharType="end"/>
            </w:r>
          </w:hyperlink>
        </w:p>
        <w:p w14:paraId="025186C7" w14:textId="3DD355D1"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4" w:history="1">
            <w:r w:rsidRPr="00CD1CF1">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Preambul</w:t>
            </w:r>
            <w:r>
              <w:rPr>
                <w:noProof/>
                <w:webHidden/>
              </w:rPr>
              <w:tab/>
            </w:r>
            <w:r>
              <w:rPr>
                <w:noProof/>
                <w:webHidden/>
              </w:rPr>
              <w:fldChar w:fldCharType="begin"/>
            </w:r>
            <w:r>
              <w:rPr>
                <w:noProof/>
                <w:webHidden/>
              </w:rPr>
              <w:instrText xml:space="preserve"> PAGEREF _Toc213405524 \h </w:instrText>
            </w:r>
            <w:r>
              <w:rPr>
                <w:noProof/>
                <w:webHidden/>
              </w:rPr>
            </w:r>
            <w:r>
              <w:rPr>
                <w:noProof/>
                <w:webHidden/>
              </w:rPr>
              <w:fldChar w:fldCharType="separate"/>
            </w:r>
            <w:r w:rsidR="00787F56">
              <w:rPr>
                <w:noProof/>
                <w:webHidden/>
              </w:rPr>
              <w:t>5</w:t>
            </w:r>
            <w:r>
              <w:rPr>
                <w:noProof/>
                <w:webHidden/>
              </w:rPr>
              <w:fldChar w:fldCharType="end"/>
            </w:r>
          </w:hyperlink>
        </w:p>
        <w:p w14:paraId="0CAC332C" w14:textId="015B2E81"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5" w:history="1">
            <w:r w:rsidRPr="00CD1CF1">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Abrevieri</w:t>
            </w:r>
            <w:r>
              <w:rPr>
                <w:noProof/>
                <w:webHidden/>
              </w:rPr>
              <w:tab/>
            </w:r>
            <w:r>
              <w:rPr>
                <w:noProof/>
                <w:webHidden/>
              </w:rPr>
              <w:fldChar w:fldCharType="begin"/>
            </w:r>
            <w:r>
              <w:rPr>
                <w:noProof/>
                <w:webHidden/>
              </w:rPr>
              <w:instrText xml:space="preserve"> PAGEREF _Toc213405525 \h </w:instrText>
            </w:r>
            <w:r>
              <w:rPr>
                <w:noProof/>
                <w:webHidden/>
              </w:rPr>
            </w:r>
            <w:r>
              <w:rPr>
                <w:noProof/>
                <w:webHidden/>
              </w:rPr>
              <w:fldChar w:fldCharType="separate"/>
            </w:r>
            <w:r w:rsidR="00787F56">
              <w:rPr>
                <w:noProof/>
                <w:webHidden/>
              </w:rPr>
              <w:t>5</w:t>
            </w:r>
            <w:r>
              <w:rPr>
                <w:noProof/>
                <w:webHidden/>
              </w:rPr>
              <w:fldChar w:fldCharType="end"/>
            </w:r>
          </w:hyperlink>
        </w:p>
        <w:p w14:paraId="4533DF46" w14:textId="6A06E673"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6" w:history="1">
            <w:r w:rsidRPr="00CD1CF1">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Glosar</w:t>
            </w:r>
            <w:r>
              <w:rPr>
                <w:noProof/>
                <w:webHidden/>
              </w:rPr>
              <w:tab/>
            </w:r>
            <w:r>
              <w:rPr>
                <w:noProof/>
                <w:webHidden/>
              </w:rPr>
              <w:fldChar w:fldCharType="begin"/>
            </w:r>
            <w:r>
              <w:rPr>
                <w:noProof/>
                <w:webHidden/>
              </w:rPr>
              <w:instrText xml:space="preserve"> PAGEREF _Toc213405526 \h </w:instrText>
            </w:r>
            <w:r>
              <w:rPr>
                <w:noProof/>
                <w:webHidden/>
              </w:rPr>
            </w:r>
            <w:r>
              <w:rPr>
                <w:noProof/>
                <w:webHidden/>
              </w:rPr>
              <w:fldChar w:fldCharType="separate"/>
            </w:r>
            <w:r w:rsidR="00787F56">
              <w:rPr>
                <w:noProof/>
                <w:webHidden/>
              </w:rPr>
              <w:t>6</w:t>
            </w:r>
            <w:r>
              <w:rPr>
                <w:noProof/>
                <w:webHidden/>
              </w:rPr>
              <w:fldChar w:fldCharType="end"/>
            </w:r>
          </w:hyperlink>
        </w:p>
        <w:p w14:paraId="72096B6A" w14:textId="60C59F5F"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7" w:history="1">
            <w:r w:rsidRPr="00CD1CF1">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ELEMENTE DE CONTEXT</w:t>
            </w:r>
            <w:r>
              <w:rPr>
                <w:noProof/>
                <w:webHidden/>
              </w:rPr>
              <w:tab/>
            </w:r>
            <w:r>
              <w:rPr>
                <w:noProof/>
                <w:webHidden/>
              </w:rPr>
              <w:fldChar w:fldCharType="begin"/>
            </w:r>
            <w:r>
              <w:rPr>
                <w:noProof/>
                <w:webHidden/>
              </w:rPr>
              <w:instrText xml:space="preserve"> PAGEREF _Toc213405527 \h </w:instrText>
            </w:r>
            <w:r>
              <w:rPr>
                <w:noProof/>
                <w:webHidden/>
              </w:rPr>
            </w:r>
            <w:r>
              <w:rPr>
                <w:noProof/>
                <w:webHidden/>
              </w:rPr>
              <w:fldChar w:fldCharType="separate"/>
            </w:r>
            <w:r w:rsidR="00787F56">
              <w:rPr>
                <w:noProof/>
                <w:webHidden/>
              </w:rPr>
              <w:t>8</w:t>
            </w:r>
            <w:r>
              <w:rPr>
                <w:noProof/>
                <w:webHidden/>
              </w:rPr>
              <w:fldChar w:fldCharType="end"/>
            </w:r>
          </w:hyperlink>
        </w:p>
        <w:p w14:paraId="6E6AC11C" w14:textId="00F7E75D"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8" w:history="1">
            <w:r w:rsidRPr="00CD1CF1">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Informații generale Program</w:t>
            </w:r>
            <w:r>
              <w:rPr>
                <w:noProof/>
                <w:webHidden/>
              </w:rPr>
              <w:tab/>
            </w:r>
            <w:r>
              <w:rPr>
                <w:noProof/>
                <w:webHidden/>
              </w:rPr>
              <w:fldChar w:fldCharType="begin"/>
            </w:r>
            <w:r>
              <w:rPr>
                <w:noProof/>
                <w:webHidden/>
              </w:rPr>
              <w:instrText xml:space="preserve"> PAGEREF _Toc213405528 \h </w:instrText>
            </w:r>
            <w:r>
              <w:rPr>
                <w:noProof/>
                <w:webHidden/>
              </w:rPr>
            </w:r>
            <w:r>
              <w:rPr>
                <w:noProof/>
                <w:webHidden/>
              </w:rPr>
              <w:fldChar w:fldCharType="separate"/>
            </w:r>
            <w:r w:rsidR="00787F56">
              <w:rPr>
                <w:noProof/>
                <w:webHidden/>
              </w:rPr>
              <w:t>8</w:t>
            </w:r>
            <w:r>
              <w:rPr>
                <w:noProof/>
                <w:webHidden/>
              </w:rPr>
              <w:fldChar w:fldCharType="end"/>
            </w:r>
          </w:hyperlink>
        </w:p>
        <w:p w14:paraId="107F35E7" w14:textId="09FA2872"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29" w:history="1">
            <w:r w:rsidRPr="00CD1CF1">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_Toc213405529 \h </w:instrText>
            </w:r>
            <w:r>
              <w:rPr>
                <w:noProof/>
                <w:webHidden/>
              </w:rPr>
            </w:r>
            <w:r>
              <w:rPr>
                <w:noProof/>
                <w:webHidden/>
              </w:rPr>
              <w:fldChar w:fldCharType="separate"/>
            </w:r>
            <w:r w:rsidR="00787F56">
              <w:rPr>
                <w:noProof/>
                <w:webHidden/>
              </w:rPr>
              <w:t>9</w:t>
            </w:r>
            <w:r>
              <w:rPr>
                <w:noProof/>
                <w:webHidden/>
              </w:rPr>
              <w:fldChar w:fldCharType="end"/>
            </w:r>
          </w:hyperlink>
        </w:p>
        <w:p w14:paraId="7B439397" w14:textId="3F935620"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0" w:history="1">
            <w:r w:rsidRPr="00CD1CF1">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_Toc213405530 \h </w:instrText>
            </w:r>
            <w:r>
              <w:rPr>
                <w:noProof/>
                <w:webHidden/>
              </w:rPr>
            </w:r>
            <w:r>
              <w:rPr>
                <w:noProof/>
                <w:webHidden/>
              </w:rPr>
              <w:fldChar w:fldCharType="separate"/>
            </w:r>
            <w:r w:rsidR="00787F56">
              <w:rPr>
                <w:noProof/>
                <w:webHidden/>
              </w:rPr>
              <w:t>9</w:t>
            </w:r>
            <w:r>
              <w:rPr>
                <w:noProof/>
                <w:webHidden/>
              </w:rPr>
              <w:fldChar w:fldCharType="end"/>
            </w:r>
          </w:hyperlink>
        </w:p>
        <w:p w14:paraId="6A81FC4B" w14:textId="6C852321"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1" w:history="1">
            <w:r w:rsidRPr="00CD1CF1">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ASPECTE SPECIFICE APELULUI DE PROIECTE</w:t>
            </w:r>
            <w:r>
              <w:rPr>
                <w:noProof/>
                <w:webHidden/>
              </w:rPr>
              <w:tab/>
            </w:r>
            <w:r>
              <w:rPr>
                <w:noProof/>
                <w:webHidden/>
              </w:rPr>
              <w:fldChar w:fldCharType="begin"/>
            </w:r>
            <w:r>
              <w:rPr>
                <w:noProof/>
                <w:webHidden/>
              </w:rPr>
              <w:instrText xml:space="preserve"> PAGEREF _Toc213405531 \h </w:instrText>
            </w:r>
            <w:r>
              <w:rPr>
                <w:noProof/>
                <w:webHidden/>
              </w:rPr>
            </w:r>
            <w:r>
              <w:rPr>
                <w:noProof/>
                <w:webHidden/>
              </w:rPr>
              <w:fldChar w:fldCharType="separate"/>
            </w:r>
            <w:r w:rsidR="00787F56">
              <w:rPr>
                <w:noProof/>
                <w:webHidden/>
              </w:rPr>
              <w:t>11</w:t>
            </w:r>
            <w:r>
              <w:rPr>
                <w:noProof/>
                <w:webHidden/>
              </w:rPr>
              <w:fldChar w:fldCharType="end"/>
            </w:r>
          </w:hyperlink>
        </w:p>
        <w:p w14:paraId="17B8AD94" w14:textId="35777EE6"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2" w:history="1">
            <w:r w:rsidRPr="00CD1CF1">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Tipul de apel de proiecte</w:t>
            </w:r>
            <w:r>
              <w:rPr>
                <w:noProof/>
                <w:webHidden/>
              </w:rPr>
              <w:tab/>
            </w:r>
            <w:r>
              <w:rPr>
                <w:noProof/>
                <w:webHidden/>
              </w:rPr>
              <w:fldChar w:fldCharType="begin"/>
            </w:r>
            <w:r>
              <w:rPr>
                <w:noProof/>
                <w:webHidden/>
              </w:rPr>
              <w:instrText xml:space="preserve"> PAGEREF _Toc213405532 \h </w:instrText>
            </w:r>
            <w:r>
              <w:rPr>
                <w:noProof/>
                <w:webHidden/>
              </w:rPr>
            </w:r>
            <w:r>
              <w:rPr>
                <w:noProof/>
                <w:webHidden/>
              </w:rPr>
              <w:fldChar w:fldCharType="separate"/>
            </w:r>
            <w:r w:rsidR="00787F56">
              <w:rPr>
                <w:noProof/>
                <w:webHidden/>
              </w:rPr>
              <w:t>11</w:t>
            </w:r>
            <w:r>
              <w:rPr>
                <w:noProof/>
                <w:webHidden/>
              </w:rPr>
              <w:fldChar w:fldCharType="end"/>
            </w:r>
          </w:hyperlink>
        </w:p>
        <w:p w14:paraId="22E7C28F" w14:textId="340B07CF"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3" w:history="1">
            <w:r w:rsidRPr="00CD1CF1">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_Toc213405533 \h </w:instrText>
            </w:r>
            <w:r>
              <w:rPr>
                <w:noProof/>
                <w:webHidden/>
              </w:rPr>
            </w:r>
            <w:r>
              <w:rPr>
                <w:noProof/>
                <w:webHidden/>
              </w:rPr>
              <w:fldChar w:fldCharType="separate"/>
            </w:r>
            <w:r w:rsidR="00787F56">
              <w:rPr>
                <w:noProof/>
                <w:webHidden/>
              </w:rPr>
              <w:t>12</w:t>
            </w:r>
            <w:r>
              <w:rPr>
                <w:noProof/>
                <w:webHidden/>
              </w:rPr>
              <w:fldChar w:fldCharType="end"/>
            </w:r>
          </w:hyperlink>
        </w:p>
        <w:p w14:paraId="301FBFD7" w14:textId="32D86240"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4" w:history="1">
            <w:r w:rsidRPr="00CD1CF1">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Bugetul alocat apelului de proiecte</w:t>
            </w:r>
            <w:r>
              <w:rPr>
                <w:noProof/>
                <w:webHidden/>
              </w:rPr>
              <w:tab/>
            </w:r>
            <w:r>
              <w:rPr>
                <w:noProof/>
                <w:webHidden/>
              </w:rPr>
              <w:fldChar w:fldCharType="begin"/>
            </w:r>
            <w:r>
              <w:rPr>
                <w:noProof/>
                <w:webHidden/>
              </w:rPr>
              <w:instrText xml:space="preserve"> PAGEREF _Toc213405534 \h </w:instrText>
            </w:r>
            <w:r>
              <w:rPr>
                <w:noProof/>
                <w:webHidden/>
              </w:rPr>
            </w:r>
            <w:r>
              <w:rPr>
                <w:noProof/>
                <w:webHidden/>
              </w:rPr>
              <w:fldChar w:fldCharType="separate"/>
            </w:r>
            <w:r w:rsidR="00787F56">
              <w:rPr>
                <w:noProof/>
                <w:webHidden/>
              </w:rPr>
              <w:t>12</w:t>
            </w:r>
            <w:r>
              <w:rPr>
                <w:noProof/>
                <w:webHidden/>
              </w:rPr>
              <w:fldChar w:fldCharType="end"/>
            </w:r>
          </w:hyperlink>
        </w:p>
        <w:p w14:paraId="4D0F776B" w14:textId="11226432"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5" w:history="1">
            <w:r w:rsidRPr="00CD1CF1">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Rata de cofinanțare</w:t>
            </w:r>
            <w:r>
              <w:rPr>
                <w:noProof/>
                <w:webHidden/>
              </w:rPr>
              <w:tab/>
            </w:r>
            <w:r>
              <w:rPr>
                <w:noProof/>
                <w:webHidden/>
              </w:rPr>
              <w:fldChar w:fldCharType="begin"/>
            </w:r>
            <w:r>
              <w:rPr>
                <w:noProof/>
                <w:webHidden/>
              </w:rPr>
              <w:instrText xml:space="preserve"> PAGEREF _Toc213405535 \h </w:instrText>
            </w:r>
            <w:r>
              <w:rPr>
                <w:noProof/>
                <w:webHidden/>
              </w:rPr>
            </w:r>
            <w:r>
              <w:rPr>
                <w:noProof/>
                <w:webHidden/>
              </w:rPr>
              <w:fldChar w:fldCharType="separate"/>
            </w:r>
            <w:r w:rsidR="00787F56">
              <w:rPr>
                <w:noProof/>
                <w:webHidden/>
              </w:rPr>
              <w:t>13</w:t>
            </w:r>
            <w:r>
              <w:rPr>
                <w:noProof/>
                <w:webHidden/>
              </w:rPr>
              <w:fldChar w:fldCharType="end"/>
            </w:r>
          </w:hyperlink>
        </w:p>
        <w:p w14:paraId="65651551" w14:textId="64539939"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6" w:history="1">
            <w:r w:rsidRPr="00CD1CF1">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_Toc213405536 \h </w:instrText>
            </w:r>
            <w:r>
              <w:rPr>
                <w:noProof/>
                <w:webHidden/>
              </w:rPr>
            </w:r>
            <w:r>
              <w:rPr>
                <w:noProof/>
                <w:webHidden/>
              </w:rPr>
              <w:fldChar w:fldCharType="separate"/>
            </w:r>
            <w:r w:rsidR="00787F56">
              <w:rPr>
                <w:noProof/>
                <w:webHidden/>
              </w:rPr>
              <w:t>13</w:t>
            </w:r>
            <w:r>
              <w:rPr>
                <w:noProof/>
                <w:webHidden/>
              </w:rPr>
              <w:fldChar w:fldCharType="end"/>
            </w:r>
          </w:hyperlink>
        </w:p>
        <w:p w14:paraId="71EFAF45" w14:textId="45FDA303"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7" w:history="1">
            <w:r w:rsidRPr="00CD1CF1">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Acțiuni sprijinite în cadrul apelului</w:t>
            </w:r>
            <w:r>
              <w:rPr>
                <w:noProof/>
                <w:webHidden/>
              </w:rPr>
              <w:tab/>
            </w:r>
            <w:r>
              <w:rPr>
                <w:noProof/>
                <w:webHidden/>
              </w:rPr>
              <w:fldChar w:fldCharType="begin"/>
            </w:r>
            <w:r>
              <w:rPr>
                <w:noProof/>
                <w:webHidden/>
              </w:rPr>
              <w:instrText xml:space="preserve"> PAGEREF _Toc213405537 \h </w:instrText>
            </w:r>
            <w:r>
              <w:rPr>
                <w:noProof/>
                <w:webHidden/>
              </w:rPr>
            </w:r>
            <w:r>
              <w:rPr>
                <w:noProof/>
                <w:webHidden/>
              </w:rPr>
              <w:fldChar w:fldCharType="separate"/>
            </w:r>
            <w:r w:rsidR="00787F56">
              <w:rPr>
                <w:noProof/>
                <w:webHidden/>
              </w:rPr>
              <w:t>14</w:t>
            </w:r>
            <w:r>
              <w:rPr>
                <w:noProof/>
                <w:webHidden/>
              </w:rPr>
              <w:fldChar w:fldCharType="end"/>
            </w:r>
          </w:hyperlink>
        </w:p>
        <w:p w14:paraId="1323EB05" w14:textId="38B82AEE"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8" w:history="1">
            <w:r w:rsidRPr="00CD1CF1">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Grup țintă vizat de apelul de proiecte</w:t>
            </w:r>
            <w:r>
              <w:rPr>
                <w:noProof/>
                <w:webHidden/>
              </w:rPr>
              <w:tab/>
            </w:r>
            <w:r>
              <w:rPr>
                <w:noProof/>
                <w:webHidden/>
              </w:rPr>
              <w:fldChar w:fldCharType="begin"/>
            </w:r>
            <w:r>
              <w:rPr>
                <w:noProof/>
                <w:webHidden/>
              </w:rPr>
              <w:instrText xml:space="preserve"> PAGEREF _Toc213405538 \h </w:instrText>
            </w:r>
            <w:r>
              <w:rPr>
                <w:noProof/>
                <w:webHidden/>
              </w:rPr>
            </w:r>
            <w:r>
              <w:rPr>
                <w:noProof/>
                <w:webHidden/>
              </w:rPr>
              <w:fldChar w:fldCharType="separate"/>
            </w:r>
            <w:r w:rsidR="00787F56">
              <w:rPr>
                <w:noProof/>
                <w:webHidden/>
              </w:rPr>
              <w:t>16</w:t>
            </w:r>
            <w:r>
              <w:rPr>
                <w:noProof/>
                <w:webHidden/>
              </w:rPr>
              <w:fldChar w:fldCharType="end"/>
            </w:r>
          </w:hyperlink>
        </w:p>
        <w:p w14:paraId="63FBE985" w14:textId="038119F2"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39" w:history="1">
            <w:r w:rsidRPr="00CD1CF1">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Indicatori</w:t>
            </w:r>
            <w:r>
              <w:rPr>
                <w:noProof/>
                <w:webHidden/>
              </w:rPr>
              <w:tab/>
            </w:r>
            <w:r>
              <w:rPr>
                <w:noProof/>
                <w:webHidden/>
              </w:rPr>
              <w:fldChar w:fldCharType="begin"/>
            </w:r>
            <w:r>
              <w:rPr>
                <w:noProof/>
                <w:webHidden/>
              </w:rPr>
              <w:instrText xml:space="preserve"> PAGEREF _Toc213405539 \h </w:instrText>
            </w:r>
            <w:r>
              <w:rPr>
                <w:noProof/>
                <w:webHidden/>
              </w:rPr>
            </w:r>
            <w:r>
              <w:rPr>
                <w:noProof/>
                <w:webHidden/>
              </w:rPr>
              <w:fldChar w:fldCharType="separate"/>
            </w:r>
            <w:r w:rsidR="00787F56">
              <w:rPr>
                <w:noProof/>
                <w:webHidden/>
              </w:rPr>
              <w:t>16</w:t>
            </w:r>
            <w:r>
              <w:rPr>
                <w:noProof/>
                <w:webHidden/>
              </w:rPr>
              <w:fldChar w:fldCharType="end"/>
            </w:r>
          </w:hyperlink>
        </w:p>
        <w:p w14:paraId="523A70D3" w14:textId="74A3C98D"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0" w:history="1">
            <w:r w:rsidRPr="00CD1CF1">
              <w:rPr>
                <w:rStyle w:val="Hyperlink"/>
                <w:noProof/>
              </w:rPr>
              <w:t>3.8.1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Indicatori de realizare</w:t>
            </w:r>
            <w:r>
              <w:rPr>
                <w:noProof/>
                <w:webHidden/>
              </w:rPr>
              <w:tab/>
            </w:r>
            <w:r>
              <w:rPr>
                <w:noProof/>
                <w:webHidden/>
              </w:rPr>
              <w:fldChar w:fldCharType="begin"/>
            </w:r>
            <w:r>
              <w:rPr>
                <w:noProof/>
                <w:webHidden/>
              </w:rPr>
              <w:instrText xml:space="preserve"> PAGEREF _Toc213405540 \h </w:instrText>
            </w:r>
            <w:r>
              <w:rPr>
                <w:noProof/>
                <w:webHidden/>
              </w:rPr>
            </w:r>
            <w:r>
              <w:rPr>
                <w:noProof/>
                <w:webHidden/>
              </w:rPr>
              <w:fldChar w:fldCharType="separate"/>
            </w:r>
            <w:r w:rsidR="00787F56">
              <w:rPr>
                <w:noProof/>
                <w:webHidden/>
              </w:rPr>
              <w:t>16</w:t>
            </w:r>
            <w:r>
              <w:rPr>
                <w:noProof/>
                <w:webHidden/>
              </w:rPr>
              <w:fldChar w:fldCharType="end"/>
            </w:r>
          </w:hyperlink>
        </w:p>
        <w:p w14:paraId="270742DE" w14:textId="7F8C2826"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1" w:history="1">
            <w:r w:rsidRPr="00CD1CF1">
              <w:rPr>
                <w:rStyle w:val="Hyperlink"/>
                <w:noProof/>
              </w:rPr>
              <w:t>3.8.2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 xml:space="preserve"> Indicatori de rezultat</w:t>
            </w:r>
            <w:r>
              <w:rPr>
                <w:noProof/>
                <w:webHidden/>
              </w:rPr>
              <w:tab/>
            </w:r>
            <w:r>
              <w:rPr>
                <w:noProof/>
                <w:webHidden/>
              </w:rPr>
              <w:fldChar w:fldCharType="begin"/>
            </w:r>
            <w:r>
              <w:rPr>
                <w:noProof/>
                <w:webHidden/>
              </w:rPr>
              <w:instrText xml:space="preserve"> PAGEREF _Toc213405541 \h </w:instrText>
            </w:r>
            <w:r>
              <w:rPr>
                <w:noProof/>
                <w:webHidden/>
              </w:rPr>
            </w:r>
            <w:r>
              <w:rPr>
                <w:noProof/>
                <w:webHidden/>
              </w:rPr>
              <w:fldChar w:fldCharType="separate"/>
            </w:r>
            <w:r w:rsidR="00787F56">
              <w:rPr>
                <w:noProof/>
                <w:webHidden/>
              </w:rPr>
              <w:t>16</w:t>
            </w:r>
            <w:r>
              <w:rPr>
                <w:noProof/>
                <w:webHidden/>
              </w:rPr>
              <w:fldChar w:fldCharType="end"/>
            </w:r>
          </w:hyperlink>
        </w:p>
        <w:p w14:paraId="5C9D0DEC" w14:textId="2F10824E"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2" w:history="1">
            <w:r w:rsidRPr="00CD1CF1">
              <w:rPr>
                <w:rStyle w:val="Hyperlink"/>
                <w:noProof/>
              </w:rPr>
              <w:t>3.8.3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Indicatori suplimentari specifici apelului de proiecte (dacă este cazul)</w:t>
            </w:r>
            <w:r>
              <w:rPr>
                <w:noProof/>
                <w:webHidden/>
              </w:rPr>
              <w:tab/>
            </w:r>
            <w:r>
              <w:rPr>
                <w:noProof/>
                <w:webHidden/>
              </w:rPr>
              <w:fldChar w:fldCharType="begin"/>
            </w:r>
            <w:r>
              <w:rPr>
                <w:noProof/>
                <w:webHidden/>
              </w:rPr>
              <w:instrText xml:space="preserve"> PAGEREF _Toc213405542 \h </w:instrText>
            </w:r>
            <w:r>
              <w:rPr>
                <w:noProof/>
                <w:webHidden/>
              </w:rPr>
            </w:r>
            <w:r>
              <w:rPr>
                <w:noProof/>
                <w:webHidden/>
              </w:rPr>
              <w:fldChar w:fldCharType="separate"/>
            </w:r>
            <w:r w:rsidR="00787F56">
              <w:rPr>
                <w:noProof/>
                <w:webHidden/>
              </w:rPr>
              <w:t>17</w:t>
            </w:r>
            <w:r>
              <w:rPr>
                <w:noProof/>
                <w:webHidden/>
              </w:rPr>
              <w:fldChar w:fldCharType="end"/>
            </w:r>
          </w:hyperlink>
        </w:p>
        <w:p w14:paraId="102BF752" w14:textId="354513BE"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3" w:history="1">
            <w:r w:rsidRPr="00CD1CF1">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Rezultatele așteptate</w:t>
            </w:r>
            <w:r>
              <w:rPr>
                <w:noProof/>
                <w:webHidden/>
              </w:rPr>
              <w:tab/>
            </w:r>
            <w:r>
              <w:rPr>
                <w:noProof/>
                <w:webHidden/>
              </w:rPr>
              <w:fldChar w:fldCharType="begin"/>
            </w:r>
            <w:r>
              <w:rPr>
                <w:noProof/>
                <w:webHidden/>
              </w:rPr>
              <w:instrText xml:space="preserve"> PAGEREF _Toc213405543 \h </w:instrText>
            </w:r>
            <w:r>
              <w:rPr>
                <w:noProof/>
                <w:webHidden/>
              </w:rPr>
            </w:r>
            <w:r>
              <w:rPr>
                <w:noProof/>
                <w:webHidden/>
              </w:rPr>
              <w:fldChar w:fldCharType="separate"/>
            </w:r>
            <w:r w:rsidR="00787F56">
              <w:rPr>
                <w:noProof/>
                <w:webHidden/>
              </w:rPr>
              <w:t>18</w:t>
            </w:r>
            <w:r>
              <w:rPr>
                <w:noProof/>
                <w:webHidden/>
              </w:rPr>
              <w:fldChar w:fldCharType="end"/>
            </w:r>
          </w:hyperlink>
        </w:p>
        <w:p w14:paraId="01BBBD70" w14:textId="187A9DA9"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4" w:history="1">
            <w:r w:rsidRPr="00CD1CF1">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Operațiune de importanță strategică</w:t>
            </w:r>
            <w:r>
              <w:rPr>
                <w:noProof/>
                <w:webHidden/>
              </w:rPr>
              <w:tab/>
            </w:r>
            <w:r>
              <w:rPr>
                <w:noProof/>
                <w:webHidden/>
              </w:rPr>
              <w:fldChar w:fldCharType="begin"/>
            </w:r>
            <w:r>
              <w:rPr>
                <w:noProof/>
                <w:webHidden/>
              </w:rPr>
              <w:instrText xml:space="preserve"> PAGEREF _Toc213405544 \h </w:instrText>
            </w:r>
            <w:r>
              <w:rPr>
                <w:noProof/>
                <w:webHidden/>
              </w:rPr>
            </w:r>
            <w:r>
              <w:rPr>
                <w:noProof/>
                <w:webHidden/>
              </w:rPr>
              <w:fldChar w:fldCharType="separate"/>
            </w:r>
            <w:r w:rsidR="00787F56">
              <w:rPr>
                <w:noProof/>
                <w:webHidden/>
              </w:rPr>
              <w:t>18</w:t>
            </w:r>
            <w:r>
              <w:rPr>
                <w:noProof/>
                <w:webHidden/>
              </w:rPr>
              <w:fldChar w:fldCharType="end"/>
            </w:r>
          </w:hyperlink>
        </w:p>
        <w:p w14:paraId="1A5F3174" w14:textId="00F92E31"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5" w:history="1">
            <w:r w:rsidRPr="00CD1CF1">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Investiții teritoriale integrate</w:t>
            </w:r>
            <w:r>
              <w:rPr>
                <w:noProof/>
                <w:webHidden/>
              </w:rPr>
              <w:tab/>
            </w:r>
            <w:r>
              <w:rPr>
                <w:noProof/>
                <w:webHidden/>
              </w:rPr>
              <w:fldChar w:fldCharType="begin"/>
            </w:r>
            <w:r>
              <w:rPr>
                <w:noProof/>
                <w:webHidden/>
              </w:rPr>
              <w:instrText xml:space="preserve"> PAGEREF _Toc213405545 \h </w:instrText>
            </w:r>
            <w:r>
              <w:rPr>
                <w:noProof/>
                <w:webHidden/>
              </w:rPr>
            </w:r>
            <w:r>
              <w:rPr>
                <w:noProof/>
                <w:webHidden/>
              </w:rPr>
              <w:fldChar w:fldCharType="separate"/>
            </w:r>
            <w:r w:rsidR="00787F56">
              <w:rPr>
                <w:noProof/>
                <w:webHidden/>
              </w:rPr>
              <w:t>19</w:t>
            </w:r>
            <w:r>
              <w:rPr>
                <w:noProof/>
                <w:webHidden/>
              </w:rPr>
              <w:fldChar w:fldCharType="end"/>
            </w:r>
          </w:hyperlink>
        </w:p>
        <w:p w14:paraId="50F8F8B9" w14:textId="7890E778"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6" w:history="1">
            <w:r w:rsidRPr="00CD1CF1">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_Toc213405546 \h </w:instrText>
            </w:r>
            <w:r>
              <w:rPr>
                <w:noProof/>
                <w:webHidden/>
              </w:rPr>
            </w:r>
            <w:r>
              <w:rPr>
                <w:noProof/>
                <w:webHidden/>
              </w:rPr>
              <w:fldChar w:fldCharType="separate"/>
            </w:r>
            <w:r w:rsidR="00787F56">
              <w:rPr>
                <w:noProof/>
                <w:webHidden/>
              </w:rPr>
              <w:t>19</w:t>
            </w:r>
            <w:r>
              <w:rPr>
                <w:noProof/>
                <w:webHidden/>
              </w:rPr>
              <w:fldChar w:fldCharType="end"/>
            </w:r>
          </w:hyperlink>
        </w:p>
        <w:p w14:paraId="7A6AA9EB" w14:textId="0CEAA741"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7" w:history="1">
            <w:r w:rsidRPr="00CD1CF1">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Reguli privind ajutorul de stat</w:t>
            </w:r>
            <w:r>
              <w:rPr>
                <w:noProof/>
                <w:webHidden/>
              </w:rPr>
              <w:tab/>
            </w:r>
            <w:r>
              <w:rPr>
                <w:noProof/>
                <w:webHidden/>
              </w:rPr>
              <w:fldChar w:fldCharType="begin"/>
            </w:r>
            <w:r>
              <w:rPr>
                <w:noProof/>
                <w:webHidden/>
              </w:rPr>
              <w:instrText xml:space="preserve"> PAGEREF _Toc213405547 \h </w:instrText>
            </w:r>
            <w:r>
              <w:rPr>
                <w:noProof/>
                <w:webHidden/>
              </w:rPr>
            </w:r>
            <w:r>
              <w:rPr>
                <w:noProof/>
                <w:webHidden/>
              </w:rPr>
              <w:fldChar w:fldCharType="separate"/>
            </w:r>
            <w:r w:rsidR="00787F56">
              <w:rPr>
                <w:noProof/>
                <w:webHidden/>
              </w:rPr>
              <w:t>19</w:t>
            </w:r>
            <w:r>
              <w:rPr>
                <w:noProof/>
                <w:webHidden/>
              </w:rPr>
              <w:fldChar w:fldCharType="end"/>
            </w:r>
          </w:hyperlink>
        </w:p>
        <w:p w14:paraId="69059EF8" w14:textId="4399381A"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8" w:history="1">
            <w:r w:rsidRPr="00CD1CF1">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Reguli privind instrumentele financiare (NA)</w:t>
            </w:r>
            <w:r>
              <w:rPr>
                <w:noProof/>
                <w:webHidden/>
              </w:rPr>
              <w:tab/>
            </w:r>
            <w:r>
              <w:rPr>
                <w:noProof/>
                <w:webHidden/>
              </w:rPr>
              <w:fldChar w:fldCharType="begin"/>
            </w:r>
            <w:r>
              <w:rPr>
                <w:noProof/>
                <w:webHidden/>
              </w:rPr>
              <w:instrText xml:space="preserve"> PAGEREF _Toc213405548 \h </w:instrText>
            </w:r>
            <w:r>
              <w:rPr>
                <w:noProof/>
                <w:webHidden/>
              </w:rPr>
            </w:r>
            <w:r>
              <w:rPr>
                <w:noProof/>
                <w:webHidden/>
              </w:rPr>
              <w:fldChar w:fldCharType="separate"/>
            </w:r>
            <w:r w:rsidR="00787F56">
              <w:rPr>
                <w:noProof/>
                <w:webHidden/>
              </w:rPr>
              <w:t>19</w:t>
            </w:r>
            <w:r>
              <w:rPr>
                <w:noProof/>
                <w:webHidden/>
              </w:rPr>
              <w:fldChar w:fldCharType="end"/>
            </w:r>
          </w:hyperlink>
        </w:p>
        <w:p w14:paraId="17B08103" w14:textId="66D5B58F"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49" w:history="1">
            <w:r w:rsidRPr="00CD1CF1">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_Toc213405549 \h </w:instrText>
            </w:r>
            <w:r>
              <w:rPr>
                <w:noProof/>
                <w:webHidden/>
              </w:rPr>
            </w:r>
            <w:r>
              <w:rPr>
                <w:noProof/>
                <w:webHidden/>
              </w:rPr>
              <w:fldChar w:fldCharType="separate"/>
            </w:r>
            <w:r w:rsidR="00787F56">
              <w:rPr>
                <w:noProof/>
                <w:webHidden/>
              </w:rPr>
              <w:t>19</w:t>
            </w:r>
            <w:r>
              <w:rPr>
                <w:noProof/>
                <w:webHidden/>
              </w:rPr>
              <w:fldChar w:fldCharType="end"/>
            </w:r>
          </w:hyperlink>
        </w:p>
        <w:p w14:paraId="69521FA9" w14:textId="205233FE"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0" w:history="1">
            <w:r w:rsidRPr="00CD1CF1">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Principii orizontale</w:t>
            </w:r>
            <w:r>
              <w:rPr>
                <w:noProof/>
                <w:webHidden/>
              </w:rPr>
              <w:tab/>
            </w:r>
            <w:r>
              <w:rPr>
                <w:noProof/>
                <w:webHidden/>
              </w:rPr>
              <w:fldChar w:fldCharType="begin"/>
            </w:r>
            <w:r>
              <w:rPr>
                <w:noProof/>
                <w:webHidden/>
              </w:rPr>
              <w:instrText xml:space="preserve"> PAGEREF _Toc213405550 \h </w:instrText>
            </w:r>
            <w:r>
              <w:rPr>
                <w:noProof/>
                <w:webHidden/>
              </w:rPr>
            </w:r>
            <w:r>
              <w:rPr>
                <w:noProof/>
                <w:webHidden/>
              </w:rPr>
              <w:fldChar w:fldCharType="separate"/>
            </w:r>
            <w:r w:rsidR="00787F56">
              <w:rPr>
                <w:noProof/>
                <w:webHidden/>
              </w:rPr>
              <w:t>19</w:t>
            </w:r>
            <w:r>
              <w:rPr>
                <w:noProof/>
                <w:webHidden/>
              </w:rPr>
              <w:fldChar w:fldCharType="end"/>
            </w:r>
          </w:hyperlink>
        </w:p>
        <w:p w14:paraId="0E9592DB" w14:textId="23FC8B12"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1" w:history="1">
            <w:r w:rsidRPr="00CD1CF1">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Aspecte de mediu.</w:t>
            </w:r>
            <w:r>
              <w:rPr>
                <w:noProof/>
                <w:webHidden/>
              </w:rPr>
              <w:tab/>
            </w:r>
            <w:r>
              <w:rPr>
                <w:noProof/>
                <w:webHidden/>
              </w:rPr>
              <w:fldChar w:fldCharType="begin"/>
            </w:r>
            <w:r>
              <w:rPr>
                <w:noProof/>
                <w:webHidden/>
              </w:rPr>
              <w:instrText xml:space="preserve"> PAGEREF _Toc213405551 \h </w:instrText>
            </w:r>
            <w:r>
              <w:rPr>
                <w:noProof/>
                <w:webHidden/>
              </w:rPr>
            </w:r>
            <w:r>
              <w:rPr>
                <w:noProof/>
                <w:webHidden/>
              </w:rPr>
              <w:fldChar w:fldCharType="separate"/>
            </w:r>
            <w:r w:rsidR="00787F56">
              <w:rPr>
                <w:noProof/>
                <w:webHidden/>
              </w:rPr>
              <w:t>20</w:t>
            </w:r>
            <w:r>
              <w:rPr>
                <w:noProof/>
                <w:webHidden/>
              </w:rPr>
              <w:fldChar w:fldCharType="end"/>
            </w:r>
          </w:hyperlink>
        </w:p>
        <w:p w14:paraId="1B2F83B9" w14:textId="221077DC"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2" w:history="1">
            <w:r w:rsidRPr="00CD1CF1">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Caracterul durabil al proiectului</w:t>
            </w:r>
            <w:r>
              <w:rPr>
                <w:noProof/>
                <w:webHidden/>
              </w:rPr>
              <w:tab/>
            </w:r>
            <w:r>
              <w:rPr>
                <w:noProof/>
                <w:webHidden/>
              </w:rPr>
              <w:fldChar w:fldCharType="begin"/>
            </w:r>
            <w:r>
              <w:rPr>
                <w:noProof/>
                <w:webHidden/>
              </w:rPr>
              <w:instrText xml:space="preserve"> PAGEREF _Toc213405552 \h </w:instrText>
            </w:r>
            <w:r>
              <w:rPr>
                <w:noProof/>
                <w:webHidden/>
              </w:rPr>
            </w:r>
            <w:r>
              <w:rPr>
                <w:noProof/>
                <w:webHidden/>
              </w:rPr>
              <w:fldChar w:fldCharType="separate"/>
            </w:r>
            <w:r w:rsidR="00787F56">
              <w:rPr>
                <w:noProof/>
                <w:webHidden/>
              </w:rPr>
              <w:t>22</w:t>
            </w:r>
            <w:r>
              <w:rPr>
                <w:noProof/>
                <w:webHidden/>
              </w:rPr>
              <w:fldChar w:fldCharType="end"/>
            </w:r>
          </w:hyperlink>
        </w:p>
        <w:p w14:paraId="08DD1179" w14:textId="746A2B5E"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3" w:history="1">
            <w:r w:rsidRPr="00CD1CF1">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_Toc213405553 \h </w:instrText>
            </w:r>
            <w:r>
              <w:rPr>
                <w:noProof/>
                <w:webHidden/>
              </w:rPr>
            </w:r>
            <w:r>
              <w:rPr>
                <w:noProof/>
                <w:webHidden/>
              </w:rPr>
              <w:fldChar w:fldCharType="separate"/>
            </w:r>
            <w:r w:rsidR="00787F56">
              <w:rPr>
                <w:noProof/>
                <w:webHidden/>
              </w:rPr>
              <w:t>22</w:t>
            </w:r>
            <w:r>
              <w:rPr>
                <w:noProof/>
                <w:webHidden/>
              </w:rPr>
              <w:fldChar w:fldCharType="end"/>
            </w:r>
          </w:hyperlink>
        </w:p>
        <w:p w14:paraId="23F40A74" w14:textId="550B6991"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4" w:history="1">
            <w:r w:rsidRPr="00CD1CF1">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Teme secundare (NA)</w:t>
            </w:r>
            <w:r>
              <w:rPr>
                <w:noProof/>
                <w:webHidden/>
              </w:rPr>
              <w:tab/>
            </w:r>
            <w:r>
              <w:rPr>
                <w:noProof/>
                <w:webHidden/>
              </w:rPr>
              <w:fldChar w:fldCharType="begin"/>
            </w:r>
            <w:r>
              <w:rPr>
                <w:noProof/>
                <w:webHidden/>
              </w:rPr>
              <w:instrText xml:space="preserve"> PAGEREF _Toc213405554 \h </w:instrText>
            </w:r>
            <w:r>
              <w:rPr>
                <w:noProof/>
                <w:webHidden/>
              </w:rPr>
            </w:r>
            <w:r>
              <w:rPr>
                <w:noProof/>
                <w:webHidden/>
              </w:rPr>
              <w:fldChar w:fldCharType="separate"/>
            </w:r>
            <w:r w:rsidR="00787F56">
              <w:rPr>
                <w:noProof/>
                <w:webHidden/>
              </w:rPr>
              <w:t>24</w:t>
            </w:r>
            <w:r>
              <w:rPr>
                <w:noProof/>
                <w:webHidden/>
              </w:rPr>
              <w:fldChar w:fldCharType="end"/>
            </w:r>
          </w:hyperlink>
        </w:p>
        <w:p w14:paraId="6441C028" w14:textId="2162374B" w:rsidR="00B330F8" w:rsidRDefault="00B330F8">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5" w:history="1">
            <w:r w:rsidRPr="00CD1CF1">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_Toc213405555 \h </w:instrText>
            </w:r>
            <w:r>
              <w:rPr>
                <w:noProof/>
                <w:webHidden/>
              </w:rPr>
            </w:r>
            <w:r>
              <w:rPr>
                <w:noProof/>
                <w:webHidden/>
              </w:rPr>
              <w:fldChar w:fldCharType="separate"/>
            </w:r>
            <w:r w:rsidR="00787F56">
              <w:rPr>
                <w:noProof/>
                <w:webHidden/>
              </w:rPr>
              <w:t>24</w:t>
            </w:r>
            <w:r>
              <w:rPr>
                <w:noProof/>
                <w:webHidden/>
              </w:rPr>
              <w:fldChar w:fldCharType="end"/>
            </w:r>
          </w:hyperlink>
        </w:p>
        <w:p w14:paraId="4975AB54" w14:textId="4343FD98"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6" w:history="1">
            <w:r w:rsidRPr="00CD1CF1">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_Toc213405556 \h </w:instrText>
            </w:r>
            <w:r>
              <w:rPr>
                <w:noProof/>
                <w:webHidden/>
              </w:rPr>
            </w:r>
            <w:r>
              <w:rPr>
                <w:noProof/>
                <w:webHidden/>
              </w:rPr>
              <w:fldChar w:fldCharType="separate"/>
            </w:r>
            <w:r w:rsidR="00787F56">
              <w:rPr>
                <w:noProof/>
                <w:webHidden/>
              </w:rPr>
              <w:t>24</w:t>
            </w:r>
            <w:r>
              <w:rPr>
                <w:noProof/>
                <w:webHidden/>
              </w:rPr>
              <w:fldChar w:fldCharType="end"/>
            </w:r>
          </w:hyperlink>
        </w:p>
        <w:p w14:paraId="423A8577" w14:textId="04D2217B"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7" w:history="1">
            <w:r w:rsidRPr="00CD1CF1">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Data deschiderii apelului de proiecte</w:t>
            </w:r>
            <w:r>
              <w:rPr>
                <w:noProof/>
                <w:webHidden/>
              </w:rPr>
              <w:tab/>
            </w:r>
            <w:r>
              <w:rPr>
                <w:noProof/>
                <w:webHidden/>
              </w:rPr>
              <w:fldChar w:fldCharType="begin"/>
            </w:r>
            <w:r>
              <w:rPr>
                <w:noProof/>
                <w:webHidden/>
              </w:rPr>
              <w:instrText xml:space="preserve"> PAGEREF _Toc213405557 \h </w:instrText>
            </w:r>
            <w:r>
              <w:rPr>
                <w:noProof/>
                <w:webHidden/>
              </w:rPr>
            </w:r>
            <w:r>
              <w:rPr>
                <w:noProof/>
                <w:webHidden/>
              </w:rPr>
              <w:fldChar w:fldCharType="separate"/>
            </w:r>
            <w:r w:rsidR="00787F56">
              <w:rPr>
                <w:noProof/>
                <w:webHidden/>
              </w:rPr>
              <w:t>24</w:t>
            </w:r>
            <w:r>
              <w:rPr>
                <w:noProof/>
                <w:webHidden/>
              </w:rPr>
              <w:fldChar w:fldCharType="end"/>
            </w:r>
          </w:hyperlink>
        </w:p>
        <w:p w14:paraId="5A1EF8CD" w14:textId="1E45DF63"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8" w:history="1">
            <w:r w:rsidRPr="00CD1CF1">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Perioada de pregătire a proiectelor</w:t>
            </w:r>
            <w:r>
              <w:rPr>
                <w:noProof/>
                <w:webHidden/>
              </w:rPr>
              <w:tab/>
            </w:r>
            <w:r>
              <w:rPr>
                <w:noProof/>
                <w:webHidden/>
              </w:rPr>
              <w:fldChar w:fldCharType="begin"/>
            </w:r>
            <w:r>
              <w:rPr>
                <w:noProof/>
                <w:webHidden/>
              </w:rPr>
              <w:instrText xml:space="preserve"> PAGEREF _Toc213405558 \h </w:instrText>
            </w:r>
            <w:r>
              <w:rPr>
                <w:noProof/>
                <w:webHidden/>
              </w:rPr>
            </w:r>
            <w:r>
              <w:rPr>
                <w:noProof/>
                <w:webHidden/>
              </w:rPr>
              <w:fldChar w:fldCharType="separate"/>
            </w:r>
            <w:r w:rsidR="00787F56">
              <w:rPr>
                <w:noProof/>
                <w:webHidden/>
              </w:rPr>
              <w:t>24</w:t>
            </w:r>
            <w:r>
              <w:rPr>
                <w:noProof/>
                <w:webHidden/>
              </w:rPr>
              <w:fldChar w:fldCharType="end"/>
            </w:r>
          </w:hyperlink>
        </w:p>
        <w:p w14:paraId="713BB0C1" w14:textId="4AADC647"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59" w:history="1">
            <w:r w:rsidRPr="00CD1CF1">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Perioada de depunere a proiectelor</w:t>
            </w:r>
            <w:r>
              <w:rPr>
                <w:noProof/>
                <w:webHidden/>
              </w:rPr>
              <w:tab/>
            </w:r>
            <w:r>
              <w:rPr>
                <w:noProof/>
                <w:webHidden/>
              </w:rPr>
              <w:fldChar w:fldCharType="begin"/>
            </w:r>
            <w:r>
              <w:rPr>
                <w:noProof/>
                <w:webHidden/>
              </w:rPr>
              <w:instrText xml:space="preserve"> PAGEREF _Toc213405559 \h </w:instrText>
            </w:r>
            <w:r>
              <w:rPr>
                <w:noProof/>
                <w:webHidden/>
              </w:rPr>
            </w:r>
            <w:r>
              <w:rPr>
                <w:noProof/>
                <w:webHidden/>
              </w:rPr>
              <w:fldChar w:fldCharType="separate"/>
            </w:r>
            <w:r w:rsidR="00787F56">
              <w:rPr>
                <w:noProof/>
                <w:webHidden/>
              </w:rPr>
              <w:t>24</w:t>
            </w:r>
            <w:r>
              <w:rPr>
                <w:noProof/>
                <w:webHidden/>
              </w:rPr>
              <w:fldChar w:fldCharType="end"/>
            </w:r>
          </w:hyperlink>
        </w:p>
        <w:p w14:paraId="19F8C59D" w14:textId="1581070C"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0" w:history="1">
            <w:r w:rsidRPr="00CD1CF1">
              <w:rPr>
                <w:rStyle w:val="Hyperlink"/>
                <w:noProof/>
              </w:rPr>
              <w:t>4.3.1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Data și ora pentru începerea depunerii de proiecte</w:t>
            </w:r>
            <w:r>
              <w:rPr>
                <w:noProof/>
                <w:webHidden/>
              </w:rPr>
              <w:tab/>
            </w:r>
            <w:r>
              <w:rPr>
                <w:noProof/>
                <w:webHidden/>
              </w:rPr>
              <w:fldChar w:fldCharType="begin"/>
            </w:r>
            <w:r>
              <w:rPr>
                <w:noProof/>
                <w:webHidden/>
              </w:rPr>
              <w:instrText xml:space="preserve"> PAGEREF _Toc213405560 \h </w:instrText>
            </w:r>
            <w:r>
              <w:rPr>
                <w:noProof/>
                <w:webHidden/>
              </w:rPr>
            </w:r>
            <w:r>
              <w:rPr>
                <w:noProof/>
                <w:webHidden/>
              </w:rPr>
              <w:fldChar w:fldCharType="separate"/>
            </w:r>
            <w:r w:rsidR="00787F56">
              <w:rPr>
                <w:noProof/>
                <w:webHidden/>
              </w:rPr>
              <w:t>24</w:t>
            </w:r>
            <w:r>
              <w:rPr>
                <w:noProof/>
                <w:webHidden/>
              </w:rPr>
              <w:fldChar w:fldCharType="end"/>
            </w:r>
          </w:hyperlink>
        </w:p>
        <w:p w14:paraId="77C1E848" w14:textId="73124D6E"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1" w:history="1">
            <w:r w:rsidRPr="00CD1CF1">
              <w:rPr>
                <w:rStyle w:val="Hyperlink"/>
                <w:noProof/>
              </w:rPr>
              <w:t>4.3.2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Data și ora închiderii apelului de proiecte</w:t>
            </w:r>
            <w:r>
              <w:rPr>
                <w:noProof/>
                <w:webHidden/>
              </w:rPr>
              <w:tab/>
            </w:r>
            <w:r>
              <w:rPr>
                <w:noProof/>
                <w:webHidden/>
              </w:rPr>
              <w:fldChar w:fldCharType="begin"/>
            </w:r>
            <w:r>
              <w:rPr>
                <w:noProof/>
                <w:webHidden/>
              </w:rPr>
              <w:instrText xml:space="preserve"> PAGEREF _Toc213405561 \h </w:instrText>
            </w:r>
            <w:r>
              <w:rPr>
                <w:noProof/>
                <w:webHidden/>
              </w:rPr>
            </w:r>
            <w:r>
              <w:rPr>
                <w:noProof/>
                <w:webHidden/>
              </w:rPr>
              <w:fldChar w:fldCharType="separate"/>
            </w:r>
            <w:r w:rsidR="00787F56">
              <w:rPr>
                <w:noProof/>
                <w:webHidden/>
              </w:rPr>
              <w:t>24</w:t>
            </w:r>
            <w:r>
              <w:rPr>
                <w:noProof/>
                <w:webHidden/>
              </w:rPr>
              <w:fldChar w:fldCharType="end"/>
            </w:r>
          </w:hyperlink>
        </w:p>
        <w:p w14:paraId="64F90099" w14:textId="22633549"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2" w:history="1">
            <w:r w:rsidRPr="00CD1CF1">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Modalitatea de depunere a proiectelor</w:t>
            </w:r>
            <w:r>
              <w:rPr>
                <w:noProof/>
                <w:webHidden/>
              </w:rPr>
              <w:tab/>
            </w:r>
            <w:r>
              <w:rPr>
                <w:noProof/>
                <w:webHidden/>
              </w:rPr>
              <w:fldChar w:fldCharType="begin"/>
            </w:r>
            <w:r>
              <w:rPr>
                <w:noProof/>
                <w:webHidden/>
              </w:rPr>
              <w:instrText xml:space="preserve"> PAGEREF _Toc213405562 \h </w:instrText>
            </w:r>
            <w:r>
              <w:rPr>
                <w:noProof/>
                <w:webHidden/>
              </w:rPr>
            </w:r>
            <w:r>
              <w:rPr>
                <w:noProof/>
                <w:webHidden/>
              </w:rPr>
              <w:fldChar w:fldCharType="separate"/>
            </w:r>
            <w:r w:rsidR="00787F56">
              <w:rPr>
                <w:noProof/>
                <w:webHidden/>
              </w:rPr>
              <w:t>24</w:t>
            </w:r>
            <w:r>
              <w:rPr>
                <w:noProof/>
                <w:webHidden/>
              </w:rPr>
              <w:fldChar w:fldCharType="end"/>
            </w:r>
          </w:hyperlink>
        </w:p>
        <w:p w14:paraId="3F98E3E5" w14:textId="40E95AD0"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3" w:history="1">
            <w:r w:rsidRPr="00CD1CF1">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CONDIȚII DE ELIGIBILITATE</w:t>
            </w:r>
            <w:r>
              <w:rPr>
                <w:noProof/>
                <w:webHidden/>
              </w:rPr>
              <w:tab/>
            </w:r>
            <w:r>
              <w:rPr>
                <w:noProof/>
                <w:webHidden/>
              </w:rPr>
              <w:fldChar w:fldCharType="begin"/>
            </w:r>
            <w:r>
              <w:rPr>
                <w:noProof/>
                <w:webHidden/>
              </w:rPr>
              <w:instrText xml:space="preserve"> PAGEREF _Toc213405563 \h </w:instrText>
            </w:r>
            <w:r>
              <w:rPr>
                <w:noProof/>
                <w:webHidden/>
              </w:rPr>
            </w:r>
            <w:r>
              <w:rPr>
                <w:noProof/>
                <w:webHidden/>
              </w:rPr>
              <w:fldChar w:fldCharType="separate"/>
            </w:r>
            <w:r w:rsidR="00787F56">
              <w:rPr>
                <w:noProof/>
                <w:webHidden/>
              </w:rPr>
              <w:t>25</w:t>
            </w:r>
            <w:r>
              <w:rPr>
                <w:noProof/>
                <w:webHidden/>
              </w:rPr>
              <w:fldChar w:fldCharType="end"/>
            </w:r>
          </w:hyperlink>
        </w:p>
        <w:p w14:paraId="676B9AC3" w14:textId="68761118"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4" w:history="1">
            <w:r w:rsidRPr="00CD1CF1">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Eligibilitatea solicitanților și partenerilor</w:t>
            </w:r>
            <w:r>
              <w:rPr>
                <w:noProof/>
                <w:webHidden/>
              </w:rPr>
              <w:tab/>
            </w:r>
            <w:r>
              <w:rPr>
                <w:noProof/>
                <w:webHidden/>
              </w:rPr>
              <w:fldChar w:fldCharType="begin"/>
            </w:r>
            <w:r>
              <w:rPr>
                <w:noProof/>
                <w:webHidden/>
              </w:rPr>
              <w:instrText xml:space="preserve"> PAGEREF _Toc213405564 \h </w:instrText>
            </w:r>
            <w:r>
              <w:rPr>
                <w:noProof/>
                <w:webHidden/>
              </w:rPr>
            </w:r>
            <w:r>
              <w:rPr>
                <w:noProof/>
                <w:webHidden/>
              </w:rPr>
              <w:fldChar w:fldCharType="separate"/>
            </w:r>
            <w:r w:rsidR="00787F56">
              <w:rPr>
                <w:noProof/>
                <w:webHidden/>
              </w:rPr>
              <w:t>25</w:t>
            </w:r>
            <w:r>
              <w:rPr>
                <w:noProof/>
                <w:webHidden/>
              </w:rPr>
              <w:fldChar w:fldCharType="end"/>
            </w:r>
          </w:hyperlink>
        </w:p>
        <w:p w14:paraId="261D0B20" w14:textId="4435E9D9"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5" w:history="1">
            <w:r w:rsidRPr="00CD1CF1">
              <w:rPr>
                <w:rStyle w:val="Hyperlink"/>
                <w:noProof/>
              </w:rPr>
              <w:t>5.1.1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Cerințe privind eligibilitatea solicitanților și partenerilor</w:t>
            </w:r>
            <w:r>
              <w:rPr>
                <w:noProof/>
                <w:webHidden/>
              </w:rPr>
              <w:tab/>
            </w:r>
            <w:r>
              <w:rPr>
                <w:noProof/>
                <w:webHidden/>
              </w:rPr>
              <w:fldChar w:fldCharType="begin"/>
            </w:r>
            <w:r>
              <w:rPr>
                <w:noProof/>
                <w:webHidden/>
              </w:rPr>
              <w:instrText xml:space="preserve"> PAGEREF _Toc213405565 \h </w:instrText>
            </w:r>
            <w:r>
              <w:rPr>
                <w:noProof/>
                <w:webHidden/>
              </w:rPr>
            </w:r>
            <w:r>
              <w:rPr>
                <w:noProof/>
                <w:webHidden/>
              </w:rPr>
              <w:fldChar w:fldCharType="separate"/>
            </w:r>
            <w:r w:rsidR="00787F56">
              <w:rPr>
                <w:noProof/>
                <w:webHidden/>
              </w:rPr>
              <w:t>25</w:t>
            </w:r>
            <w:r>
              <w:rPr>
                <w:noProof/>
                <w:webHidden/>
              </w:rPr>
              <w:fldChar w:fldCharType="end"/>
            </w:r>
          </w:hyperlink>
        </w:p>
        <w:p w14:paraId="43408DC3" w14:textId="67F49A68"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6" w:history="1">
            <w:r w:rsidRPr="00CD1CF1">
              <w:rPr>
                <w:rStyle w:val="Hyperlink"/>
                <w:noProof/>
              </w:rPr>
              <w:t>5.1.2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Categorii de solicitanți eligibili</w:t>
            </w:r>
            <w:r>
              <w:rPr>
                <w:noProof/>
                <w:webHidden/>
              </w:rPr>
              <w:tab/>
            </w:r>
            <w:r>
              <w:rPr>
                <w:noProof/>
                <w:webHidden/>
              </w:rPr>
              <w:fldChar w:fldCharType="begin"/>
            </w:r>
            <w:r>
              <w:rPr>
                <w:noProof/>
                <w:webHidden/>
              </w:rPr>
              <w:instrText xml:space="preserve"> PAGEREF _Toc213405566 \h </w:instrText>
            </w:r>
            <w:r>
              <w:rPr>
                <w:noProof/>
                <w:webHidden/>
              </w:rPr>
            </w:r>
            <w:r>
              <w:rPr>
                <w:noProof/>
                <w:webHidden/>
              </w:rPr>
              <w:fldChar w:fldCharType="separate"/>
            </w:r>
            <w:r w:rsidR="00787F56">
              <w:rPr>
                <w:noProof/>
                <w:webHidden/>
              </w:rPr>
              <w:t>26</w:t>
            </w:r>
            <w:r>
              <w:rPr>
                <w:noProof/>
                <w:webHidden/>
              </w:rPr>
              <w:fldChar w:fldCharType="end"/>
            </w:r>
          </w:hyperlink>
        </w:p>
        <w:p w14:paraId="1E8B4217" w14:textId="499D6C52"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7" w:history="1">
            <w:r w:rsidRPr="00CD1CF1">
              <w:rPr>
                <w:rStyle w:val="Hyperlink"/>
                <w:noProof/>
              </w:rPr>
              <w:t>5.1.3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Categorii de parteneri eligibili</w:t>
            </w:r>
            <w:r>
              <w:rPr>
                <w:noProof/>
                <w:webHidden/>
              </w:rPr>
              <w:tab/>
            </w:r>
            <w:r>
              <w:rPr>
                <w:noProof/>
                <w:webHidden/>
              </w:rPr>
              <w:fldChar w:fldCharType="begin"/>
            </w:r>
            <w:r>
              <w:rPr>
                <w:noProof/>
                <w:webHidden/>
              </w:rPr>
              <w:instrText xml:space="preserve"> PAGEREF _Toc213405567 \h </w:instrText>
            </w:r>
            <w:r>
              <w:rPr>
                <w:noProof/>
                <w:webHidden/>
              </w:rPr>
            </w:r>
            <w:r>
              <w:rPr>
                <w:noProof/>
                <w:webHidden/>
              </w:rPr>
              <w:fldChar w:fldCharType="separate"/>
            </w:r>
            <w:r w:rsidR="00787F56">
              <w:rPr>
                <w:noProof/>
                <w:webHidden/>
              </w:rPr>
              <w:t>29</w:t>
            </w:r>
            <w:r>
              <w:rPr>
                <w:noProof/>
                <w:webHidden/>
              </w:rPr>
              <w:fldChar w:fldCharType="end"/>
            </w:r>
          </w:hyperlink>
        </w:p>
        <w:p w14:paraId="5F73346F" w14:textId="459DEE61"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8" w:history="1">
            <w:r w:rsidRPr="00CD1CF1">
              <w:rPr>
                <w:rStyle w:val="Hyperlink"/>
                <w:noProof/>
              </w:rPr>
              <w:t>5.1.4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Reguli și cerințe privind parteneriatul (NA)</w:t>
            </w:r>
            <w:r>
              <w:rPr>
                <w:noProof/>
                <w:webHidden/>
              </w:rPr>
              <w:tab/>
            </w:r>
            <w:r>
              <w:rPr>
                <w:noProof/>
                <w:webHidden/>
              </w:rPr>
              <w:fldChar w:fldCharType="begin"/>
            </w:r>
            <w:r>
              <w:rPr>
                <w:noProof/>
                <w:webHidden/>
              </w:rPr>
              <w:instrText xml:space="preserve"> PAGEREF _Toc213405568 \h </w:instrText>
            </w:r>
            <w:r>
              <w:rPr>
                <w:noProof/>
                <w:webHidden/>
              </w:rPr>
            </w:r>
            <w:r>
              <w:rPr>
                <w:noProof/>
                <w:webHidden/>
              </w:rPr>
              <w:fldChar w:fldCharType="separate"/>
            </w:r>
            <w:r w:rsidR="00787F56">
              <w:rPr>
                <w:noProof/>
                <w:webHidden/>
              </w:rPr>
              <w:t>29</w:t>
            </w:r>
            <w:r>
              <w:rPr>
                <w:noProof/>
                <w:webHidden/>
              </w:rPr>
              <w:fldChar w:fldCharType="end"/>
            </w:r>
          </w:hyperlink>
        </w:p>
        <w:p w14:paraId="61AF7C7C" w14:textId="580BCA34"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69" w:history="1">
            <w:r w:rsidRPr="00CD1CF1">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Eligibilitatea activităților</w:t>
            </w:r>
            <w:r>
              <w:rPr>
                <w:noProof/>
                <w:webHidden/>
              </w:rPr>
              <w:tab/>
            </w:r>
            <w:r>
              <w:rPr>
                <w:noProof/>
                <w:webHidden/>
              </w:rPr>
              <w:fldChar w:fldCharType="begin"/>
            </w:r>
            <w:r>
              <w:rPr>
                <w:noProof/>
                <w:webHidden/>
              </w:rPr>
              <w:instrText xml:space="preserve"> PAGEREF _Toc213405569 \h </w:instrText>
            </w:r>
            <w:r>
              <w:rPr>
                <w:noProof/>
                <w:webHidden/>
              </w:rPr>
            </w:r>
            <w:r>
              <w:rPr>
                <w:noProof/>
                <w:webHidden/>
              </w:rPr>
              <w:fldChar w:fldCharType="separate"/>
            </w:r>
            <w:r w:rsidR="00787F56">
              <w:rPr>
                <w:noProof/>
                <w:webHidden/>
              </w:rPr>
              <w:t>29</w:t>
            </w:r>
            <w:r>
              <w:rPr>
                <w:noProof/>
                <w:webHidden/>
              </w:rPr>
              <w:fldChar w:fldCharType="end"/>
            </w:r>
          </w:hyperlink>
        </w:p>
        <w:p w14:paraId="24478C0C" w14:textId="1074C24D"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0" w:history="1">
            <w:r w:rsidRPr="00CD1CF1">
              <w:rPr>
                <w:rStyle w:val="Hyperlink"/>
                <w:noProof/>
              </w:rPr>
              <w:t>5.2.1</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Cerințe generale privind eligibilitatea activităților</w:t>
            </w:r>
            <w:r>
              <w:rPr>
                <w:noProof/>
                <w:webHidden/>
              </w:rPr>
              <w:tab/>
            </w:r>
            <w:r>
              <w:rPr>
                <w:noProof/>
                <w:webHidden/>
              </w:rPr>
              <w:fldChar w:fldCharType="begin"/>
            </w:r>
            <w:r>
              <w:rPr>
                <w:noProof/>
                <w:webHidden/>
              </w:rPr>
              <w:instrText xml:space="preserve"> PAGEREF _Toc213405570 \h </w:instrText>
            </w:r>
            <w:r>
              <w:rPr>
                <w:noProof/>
                <w:webHidden/>
              </w:rPr>
            </w:r>
            <w:r>
              <w:rPr>
                <w:noProof/>
                <w:webHidden/>
              </w:rPr>
              <w:fldChar w:fldCharType="separate"/>
            </w:r>
            <w:r w:rsidR="00787F56">
              <w:rPr>
                <w:noProof/>
                <w:webHidden/>
              </w:rPr>
              <w:t>30</w:t>
            </w:r>
            <w:r>
              <w:rPr>
                <w:noProof/>
                <w:webHidden/>
              </w:rPr>
              <w:fldChar w:fldCharType="end"/>
            </w:r>
          </w:hyperlink>
        </w:p>
        <w:p w14:paraId="67D46A85" w14:textId="6CAEFC9B" w:rsidR="00B330F8" w:rsidRDefault="00B330F8">
          <w:pPr>
            <w:pStyle w:val="TOC3"/>
            <w:tabs>
              <w:tab w:val="left" w:pos="199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1" w:history="1">
            <w:r w:rsidRPr="00CD1CF1">
              <w:rPr>
                <w:rStyle w:val="Hyperlink"/>
                <w:noProof/>
              </w:rPr>
              <w:t>5.2.2</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Activități eligibile</w:t>
            </w:r>
            <w:r>
              <w:rPr>
                <w:noProof/>
                <w:webHidden/>
              </w:rPr>
              <w:tab/>
            </w:r>
            <w:r>
              <w:rPr>
                <w:noProof/>
                <w:webHidden/>
              </w:rPr>
              <w:fldChar w:fldCharType="begin"/>
            </w:r>
            <w:r>
              <w:rPr>
                <w:noProof/>
                <w:webHidden/>
              </w:rPr>
              <w:instrText xml:space="preserve"> PAGEREF _Toc213405571 \h </w:instrText>
            </w:r>
            <w:r>
              <w:rPr>
                <w:noProof/>
                <w:webHidden/>
              </w:rPr>
            </w:r>
            <w:r>
              <w:rPr>
                <w:noProof/>
                <w:webHidden/>
              </w:rPr>
              <w:fldChar w:fldCharType="separate"/>
            </w:r>
            <w:r w:rsidR="00787F56">
              <w:rPr>
                <w:noProof/>
                <w:webHidden/>
              </w:rPr>
              <w:t>33</w:t>
            </w:r>
            <w:r>
              <w:rPr>
                <w:noProof/>
                <w:webHidden/>
              </w:rPr>
              <w:fldChar w:fldCharType="end"/>
            </w:r>
          </w:hyperlink>
        </w:p>
        <w:p w14:paraId="5B075911" w14:textId="5EDFDD95"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2" w:history="1">
            <w:r w:rsidRPr="00CD1CF1">
              <w:rPr>
                <w:rStyle w:val="Hyperlink"/>
                <w:noProof/>
              </w:rPr>
              <w:t>5.2.3. Activitatea de bază</w:t>
            </w:r>
            <w:r>
              <w:rPr>
                <w:noProof/>
                <w:webHidden/>
              </w:rPr>
              <w:tab/>
            </w:r>
            <w:r>
              <w:rPr>
                <w:noProof/>
                <w:webHidden/>
              </w:rPr>
              <w:fldChar w:fldCharType="begin"/>
            </w:r>
            <w:r>
              <w:rPr>
                <w:noProof/>
                <w:webHidden/>
              </w:rPr>
              <w:instrText xml:space="preserve"> PAGEREF _Toc213405572 \h </w:instrText>
            </w:r>
            <w:r>
              <w:rPr>
                <w:noProof/>
                <w:webHidden/>
              </w:rPr>
            </w:r>
            <w:r>
              <w:rPr>
                <w:noProof/>
                <w:webHidden/>
              </w:rPr>
              <w:fldChar w:fldCharType="separate"/>
            </w:r>
            <w:r w:rsidR="00787F56">
              <w:rPr>
                <w:noProof/>
                <w:webHidden/>
              </w:rPr>
              <w:t>38</w:t>
            </w:r>
            <w:r>
              <w:rPr>
                <w:noProof/>
                <w:webHidden/>
              </w:rPr>
              <w:fldChar w:fldCharType="end"/>
            </w:r>
          </w:hyperlink>
        </w:p>
        <w:p w14:paraId="43F0B878" w14:textId="5988D7C0"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3" w:history="1">
            <w:r w:rsidRPr="00CD1CF1">
              <w:rPr>
                <w:rStyle w:val="Hyperlink"/>
                <w:noProof/>
              </w:rPr>
              <w:t>5.2.4. Activități neeligibile</w:t>
            </w:r>
            <w:r>
              <w:rPr>
                <w:noProof/>
                <w:webHidden/>
              </w:rPr>
              <w:tab/>
            </w:r>
            <w:r>
              <w:rPr>
                <w:noProof/>
                <w:webHidden/>
              </w:rPr>
              <w:fldChar w:fldCharType="begin"/>
            </w:r>
            <w:r>
              <w:rPr>
                <w:noProof/>
                <w:webHidden/>
              </w:rPr>
              <w:instrText xml:space="preserve"> PAGEREF _Toc213405573 \h </w:instrText>
            </w:r>
            <w:r>
              <w:rPr>
                <w:noProof/>
                <w:webHidden/>
              </w:rPr>
            </w:r>
            <w:r>
              <w:rPr>
                <w:noProof/>
                <w:webHidden/>
              </w:rPr>
              <w:fldChar w:fldCharType="separate"/>
            </w:r>
            <w:r w:rsidR="00787F56">
              <w:rPr>
                <w:noProof/>
                <w:webHidden/>
              </w:rPr>
              <w:t>38</w:t>
            </w:r>
            <w:r>
              <w:rPr>
                <w:noProof/>
                <w:webHidden/>
              </w:rPr>
              <w:fldChar w:fldCharType="end"/>
            </w:r>
          </w:hyperlink>
        </w:p>
        <w:p w14:paraId="04E19E87" w14:textId="6743B3C5"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4" w:history="1">
            <w:r w:rsidRPr="00CD1CF1">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Eligibilitatea cheltuielilor</w:t>
            </w:r>
            <w:r>
              <w:rPr>
                <w:noProof/>
                <w:webHidden/>
              </w:rPr>
              <w:tab/>
            </w:r>
            <w:r>
              <w:rPr>
                <w:noProof/>
                <w:webHidden/>
              </w:rPr>
              <w:fldChar w:fldCharType="begin"/>
            </w:r>
            <w:r>
              <w:rPr>
                <w:noProof/>
                <w:webHidden/>
              </w:rPr>
              <w:instrText xml:space="preserve"> PAGEREF _Toc213405574 \h </w:instrText>
            </w:r>
            <w:r>
              <w:rPr>
                <w:noProof/>
                <w:webHidden/>
              </w:rPr>
            </w:r>
            <w:r>
              <w:rPr>
                <w:noProof/>
                <w:webHidden/>
              </w:rPr>
              <w:fldChar w:fldCharType="separate"/>
            </w:r>
            <w:r w:rsidR="00787F56">
              <w:rPr>
                <w:noProof/>
                <w:webHidden/>
              </w:rPr>
              <w:t>39</w:t>
            </w:r>
            <w:r>
              <w:rPr>
                <w:noProof/>
                <w:webHidden/>
              </w:rPr>
              <w:fldChar w:fldCharType="end"/>
            </w:r>
          </w:hyperlink>
        </w:p>
        <w:p w14:paraId="5E8B46BB" w14:textId="62BDD4DC"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5" w:history="1">
            <w:r w:rsidRPr="00CD1CF1">
              <w:rPr>
                <w:rStyle w:val="Hyperlink"/>
                <w:rFonts w:ascii="Calibri Light" w:eastAsia="Times New Roman" w:hAnsi="Calibri Light" w:cs="Times New Roman"/>
                <w:bCs/>
                <w:noProof/>
              </w:rPr>
              <w:t>5.3.1. Baza legală pentru stabilirea eligibilității cheltuielilor</w:t>
            </w:r>
            <w:r>
              <w:rPr>
                <w:noProof/>
                <w:webHidden/>
              </w:rPr>
              <w:tab/>
            </w:r>
            <w:r>
              <w:rPr>
                <w:noProof/>
                <w:webHidden/>
              </w:rPr>
              <w:fldChar w:fldCharType="begin"/>
            </w:r>
            <w:r>
              <w:rPr>
                <w:noProof/>
                <w:webHidden/>
              </w:rPr>
              <w:instrText xml:space="preserve"> PAGEREF _Toc213405575 \h </w:instrText>
            </w:r>
            <w:r>
              <w:rPr>
                <w:noProof/>
                <w:webHidden/>
              </w:rPr>
            </w:r>
            <w:r>
              <w:rPr>
                <w:noProof/>
                <w:webHidden/>
              </w:rPr>
              <w:fldChar w:fldCharType="separate"/>
            </w:r>
            <w:r w:rsidR="00787F56">
              <w:rPr>
                <w:noProof/>
                <w:webHidden/>
              </w:rPr>
              <w:t>39</w:t>
            </w:r>
            <w:r>
              <w:rPr>
                <w:noProof/>
                <w:webHidden/>
              </w:rPr>
              <w:fldChar w:fldCharType="end"/>
            </w:r>
          </w:hyperlink>
        </w:p>
        <w:p w14:paraId="20255BC9" w14:textId="25AB6EBB"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6" w:history="1">
            <w:r w:rsidRPr="00CD1CF1">
              <w:rPr>
                <w:rStyle w:val="Hyperlink"/>
                <w:noProof/>
              </w:rPr>
              <w:t>5.3.2. Categorii și plafoane de cheltuieli eligibile</w:t>
            </w:r>
            <w:r>
              <w:rPr>
                <w:noProof/>
                <w:webHidden/>
              </w:rPr>
              <w:tab/>
            </w:r>
            <w:r>
              <w:rPr>
                <w:noProof/>
                <w:webHidden/>
              </w:rPr>
              <w:fldChar w:fldCharType="begin"/>
            </w:r>
            <w:r>
              <w:rPr>
                <w:noProof/>
                <w:webHidden/>
              </w:rPr>
              <w:instrText xml:space="preserve"> PAGEREF _Toc213405576 \h </w:instrText>
            </w:r>
            <w:r>
              <w:rPr>
                <w:noProof/>
                <w:webHidden/>
              </w:rPr>
            </w:r>
            <w:r>
              <w:rPr>
                <w:noProof/>
                <w:webHidden/>
              </w:rPr>
              <w:fldChar w:fldCharType="separate"/>
            </w:r>
            <w:r w:rsidR="00787F56">
              <w:rPr>
                <w:noProof/>
                <w:webHidden/>
              </w:rPr>
              <w:t>40</w:t>
            </w:r>
            <w:r>
              <w:rPr>
                <w:noProof/>
                <w:webHidden/>
              </w:rPr>
              <w:fldChar w:fldCharType="end"/>
            </w:r>
          </w:hyperlink>
        </w:p>
        <w:p w14:paraId="543EFE6B" w14:textId="3D0CFFB6"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7" w:history="1">
            <w:r w:rsidRPr="00CD1CF1">
              <w:rPr>
                <w:rStyle w:val="Hyperlink"/>
                <w:noProof/>
              </w:rPr>
              <w:t>5.3.3. Categorii de cheltuieli neeligibile</w:t>
            </w:r>
            <w:r>
              <w:rPr>
                <w:noProof/>
                <w:webHidden/>
              </w:rPr>
              <w:tab/>
            </w:r>
            <w:r>
              <w:rPr>
                <w:noProof/>
                <w:webHidden/>
              </w:rPr>
              <w:fldChar w:fldCharType="begin"/>
            </w:r>
            <w:r>
              <w:rPr>
                <w:noProof/>
                <w:webHidden/>
              </w:rPr>
              <w:instrText xml:space="preserve"> PAGEREF _Toc213405577 \h </w:instrText>
            </w:r>
            <w:r>
              <w:rPr>
                <w:noProof/>
                <w:webHidden/>
              </w:rPr>
            </w:r>
            <w:r>
              <w:rPr>
                <w:noProof/>
                <w:webHidden/>
              </w:rPr>
              <w:fldChar w:fldCharType="separate"/>
            </w:r>
            <w:r w:rsidR="00787F56">
              <w:rPr>
                <w:noProof/>
                <w:webHidden/>
              </w:rPr>
              <w:t>42</w:t>
            </w:r>
            <w:r>
              <w:rPr>
                <w:noProof/>
                <w:webHidden/>
              </w:rPr>
              <w:fldChar w:fldCharType="end"/>
            </w:r>
          </w:hyperlink>
        </w:p>
        <w:p w14:paraId="0FB324E4" w14:textId="32E4E48F"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8" w:history="1">
            <w:r w:rsidRPr="00CD1CF1">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_Toc213405578 \h </w:instrText>
            </w:r>
            <w:r>
              <w:rPr>
                <w:noProof/>
                <w:webHidden/>
              </w:rPr>
            </w:r>
            <w:r>
              <w:rPr>
                <w:noProof/>
                <w:webHidden/>
              </w:rPr>
              <w:fldChar w:fldCharType="separate"/>
            </w:r>
            <w:r w:rsidR="00787F56">
              <w:rPr>
                <w:noProof/>
                <w:webHidden/>
              </w:rPr>
              <w:t>43</w:t>
            </w:r>
            <w:r>
              <w:rPr>
                <w:noProof/>
                <w:webHidden/>
              </w:rPr>
              <w:fldChar w:fldCharType="end"/>
            </w:r>
          </w:hyperlink>
        </w:p>
        <w:p w14:paraId="669B0662" w14:textId="1BF75D43"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79" w:history="1">
            <w:r w:rsidRPr="00CD1CF1">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_Toc213405579 \h </w:instrText>
            </w:r>
            <w:r>
              <w:rPr>
                <w:noProof/>
                <w:webHidden/>
              </w:rPr>
            </w:r>
            <w:r>
              <w:rPr>
                <w:noProof/>
                <w:webHidden/>
              </w:rPr>
              <w:fldChar w:fldCharType="separate"/>
            </w:r>
            <w:r w:rsidR="00787F56">
              <w:rPr>
                <w:noProof/>
                <w:webHidden/>
              </w:rPr>
              <w:t>43</w:t>
            </w:r>
            <w:r>
              <w:rPr>
                <w:noProof/>
                <w:webHidden/>
              </w:rPr>
              <w:fldChar w:fldCharType="end"/>
            </w:r>
          </w:hyperlink>
        </w:p>
        <w:p w14:paraId="6450C959" w14:textId="4E4BE455"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0" w:history="1">
            <w:r w:rsidRPr="00CD1CF1">
              <w:rPr>
                <w:rStyle w:val="Hyperlink"/>
                <w:noProof/>
              </w:rPr>
              <w:t>5.3.6 Finanțare nelegată de costuri (NA)</w:t>
            </w:r>
            <w:r>
              <w:rPr>
                <w:noProof/>
                <w:webHidden/>
              </w:rPr>
              <w:tab/>
            </w:r>
            <w:r>
              <w:rPr>
                <w:noProof/>
                <w:webHidden/>
              </w:rPr>
              <w:fldChar w:fldCharType="begin"/>
            </w:r>
            <w:r>
              <w:rPr>
                <w:noProof/>
                <w:webHidden/>
              </w:rPr>
              <w:instrText xml:space="preserve"> PAGEREF _Toc213405580 \h </w:instrText>
            </w:r>
            <w:r>
              <w:rPr>
                <w:noProof/>
                <w:webHidden/>
              </w:rPr>
            </w:r>
            <w:r>
              <w:rPr>
                <w:noProof/>
                <w:webHidden/>
              </w:rPr>
              <w:fldChar w:fldCharType="separate"/>
            </w:r>
            <w:r w:rsidR="00787F56">
              <w:rPr>
                <w:noProof/>
                <w:webHidden/>
              </w:rPr>
              <w:t>44</w:t>
            </w:r>
            <w:r>
              <w:rPr>
                <w:noProof/>
                <w:webHidden/>
              </w:rPr>
              <w:fldChar w:fldCharType="end"/>
            </w:r>
          </w:hyperlink>
        </w:p>
        <w:p w14:paraId="0A493CD1" w14:textId="5EE0CCA6"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1" w:history="1">
            <w:r w:rsidRPr="00CD1CF1">
              <w:rPr>
                <w:rStyle w:val="Hyperlink"/>
                <w:noProof/>
              </w:rPr>
              <w:t>5.4.Valoarea minimă și maximă eligibilă/nerambursabilă a unui proiect</w:t>
            </w:r>
            <w:r>
              <w:rPr>
                <w:noProof/>
                <w:webHidden/>
              </w:rPr>
              <w:tab/>
            </w:r>
            <w:r>
              <w:rPr>
                <w:noProof/>
                <w:webHidden/>
              </w:rPr>
              <w:fldChar w:fldCharType="begin"/>
            </w:r>
            <w:r>
              <w:rPr>
                <w:noProof/>
                <w:webHidden/>
              </w:rPr>
              <w:instrText xml:space="preserve"> PAGEREF _Toc213405581 \h </w:instrText>
            </w:r>
            <w:r>
              <w:rPr>
                <w:noProof/>
                <w:webHidden/>
              </w:rPr>
            </w:r>
            <w:r>
              <w:rPr>
                <w:noProof/>
                <w:webHidden/>
              </w:rPr>
              <w:fldChar w:fldCharType="separate"/>
            </w:r>
            <w:r w:rsidR="00787F56">
              <w:rPr>
                <w:noProof/>
                <w:webHidden/>
              </w:rPr>
              <w:t>44</w:t>
            </w:r>
            <w:r>
              <w:rPr>
                <w:noProof/>
                <w:webHidden/>
              </w:rPr>
              <w:fldChar w:fldCharType="end"/>
            </w:r>
          </w:hyperlink>
        </w:p>
        <w:p w14:paraId="36AEDD77" w14:textId="3D64B9BF"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2" w:history="1">
            <w:r w:rsidRPr="00CD1CF1">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Cuantumul cofinanțării acordate</w:t>
            </w:r>
            <w:r>
              <w:rPr>
                <w:noProof/>
                <w:webHidden/>
              </w:rPr>
              <w:tab/>
            </w:r>
            <w:r>
              <w:rPr>
                <w:noProof/>
                <w:webHidden/>
              </w:rPr>
              <w:fldChar w:fldCharType="begin"/>
            </w:r>
            <w:r>
              <w:rPr>
                <w:noProof/>
                <w:webHidden/>
              </w:rPr>
              <w:instrText xml:space="preserve"> PAGEREF _Toc213405582 \h </w:instrText>
            </w:r>
            <w:r>
              <w:rPr>
                <w:noProof/>
                <w:webHidden/>
              </w:rPr>
            </w:r>
            <w:r>
              <w:rPr>
                <w:noProof/>
                <w:webHidden/>
              </w:rPr>
              <w:fldChar w:fldCharType="separate"/>
            </w:r>
            <w:r w:rsidR="00787F56">
              <w:rPr>
                <w:noProof/>
                <w:webHidden/>
              </w:rPr>
              <w:t>44</w:t>
            </w:r>
            <w:r>
              <w:rPr>
                <w:noProof/>
                <w:webHidden/>
              </w:rPr>
              <w:fldChar w:fldCharType="end"/>
            </w:r>
          </w:hyperlink>
        </w:p>
        <w:p w14:paraId="6D72F944" w14:textId="3A5926A3"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3" w:history="1">
            <w:r w:rsidRPr="00CD1CF1">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Durata proiectului</w:t>
            </w:r>
            <w:r>
              <w:rPr>
                <w:noProof/>
                <w:webHidden/>
              </w:rPr>
              <w:tab/>
            </w:r>
            <w:r>
              <w:rPr>
                <w:noProof/>
                <w:webHidden/>
              </w:rPr>
              <w:fldChar w:fldCharType="begin"/>
            </w:r>
            <w:r>
              <w:rPr>
                <w:noProof/>
                <w:webHidden/>
              </w:rPr>
              <w:instrText xml:space="preserve"> PAGEREF _Toc213405583 \h </w:instrText>
            </w:r>
            <w:r>
              <w:rPr>
                <w:noProof/>
                <w:webHidden/>
              </w:rPr>
            </w:r>
            <w:r>
              <w:rPr>
                <w:noProof/>
                <w:webHidden/>
              </w:rPr>
              <w:fldChar w:fldCharType="separate"/>
            </w:r>
            <w:r w:rsidR="00787F56">
              <w:rPr>
                <w:noProof/>
                <w:webHidden/>
              </w:rPr>
              <w:t>44</w:t>
            </w:r>
            <w:r>
              <w:rPr>
                <w:noProof/>
                <w:webHidden/>
              </w:rPr>
              <w:fldChar w:fldCharType="end"/>
            </w:r>
          </w:hyperlink>
        </w:p>
        <w:p w14:paraId="6ED19A24" w14:textId="7AE5CF1E"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4" w:history="1">
            <w:r w:rsidRPr="00CD1CF1">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Alte cerințe de eligibilitate a proiectului (NA)</w:t>
            </w:r>
            <w:r>
              <w:rPr>
                <w:noProof/>
                <w:webHidden/>
              </w:rPr>
              <w:tab/>
            </w:r>
            <w:r>
              <w:rPr>
                <w:noProof/>
                <w:webHidden/>
              </w:rPr>
              <w:fldChar w:fldCharType="begin"/>
            </w:r>
            <w:r>
              <w:rPr>
                <w:noProof/>
                <w:webHidden/>
              </w:rPr>
              <w:instrText xml:space="preserve"> PAGEREF _Toc213405584 \h </w:instrText>
            </w:r>
            <w:r>
              <w:rPr>
                <w:noProof/>
                <w:webHidden/>
              </w:rPr>
            </w:r>
            <w:r>
              <w:rPr>
                <w:noProof/>
                <w:webHidden/>
              </w:rPr>
              <w:fldChar w:fldCharType="separate"/>
            </w:r>
            <w:r w:rsidR="00787F56">
              <w:rPr>
                <w:noProof/>
                <w:webHidden/>
              </w:rPr>
              <w:t>45</w:t>
            </w:r>
            <w:r>
              <w:rPr>
                <w:noProof/>
                <w:webHidden/>
              </w:rPr>
              <w:fldChar w:fldCharType="end"/>
            </w:r>
          </w:hyperlink>
        </w:p>
        <w:p w14:paraId="7A133B67" w14:textId="21466FAE"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5" w:history="1">
            <w:r w:rsidRPr="00CD1CF1">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INDICATORI DE ETAPĂ</w:t>
            </w:r>
            <w:r>
              <w:rPr>
                <w:noProof/>
                <w:webHidden/>
              </w:rPr>
              <w:tab/>
            </w:r>
            <w:r>
              <w:rPr>
                <w:noProof/>
                <w:webHidden/>
              </w:rPr>
              <w:fldChar w:fldCharType="begin"/>
            </w:r>
            <w:r>
              <w:rPr>
                <w:noProof/>
                <w:webHidden/>
              </w:rPr>
              <w:instrText xml:space="preserve"> PAGEREF _Toc213405585 \h </w:instrText>
            </w:r>
            <w:r>
              <w:rPr>
                <w:noProof/>
                <w:webHidden/>
              </w:rPr>
            </w:r>
            <w:r>
              <w:rPr>
                <w:noProof/>
                <w:webHidden/>
              </w:rPr>
              <w:fldChar w:fldCharType="separate"/>
            </w:r>
            <w:r w:rsidR="00787F56">
              <w:rPr>
                <w:noProof/>
                <w:webHidden/>
              </w:rPr>
              <w:t>46</w:t>
            </w:r>
            <w:r>
              <w:rPr>
                <w:noProof/>
                <w:webHidden/>
              </w:rPr>
              <w:fldChar w:fldCharType="end"/>
            </w:r>
          </w:hyperlink>
        </w:p>
        <w:p w14:paraId="4EDAE703" w14:textId="2C09594A"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6" w:history="1">
            <w:r w:rsidRPr="00CD1CF1">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COMPLETAREA ȘI DEPUNEREA CERERILOR DE FINANȚARE</w:t>
            </w:r>
            <w:r>
              <w:rPr>
                <w:noProof/>
                <w:webHidden/>
              </w:rPr>
              <w:tab/>
            </w:r>
            <w:r>
              <w:rPr>
                <w:noProof/>
                <w:webHidden/>
              </w:rPr>
              <w:fldChar w:fldCharType="begin"/>
            </w:r>
            <w:r>
              <w:rPr>
                <w:noProof/>
                <w:webHidden/>
              </w:rPr>
              <w:instrText xml:space="preserve"> PAGEREF _Toc213405586 \h </w:instrText>
            </w:r>
            <w:r>
              <w:rPr>
                <w:noProof/>
                <w:webHidden/>
              </w:rPr>
            </w:r>
            <w:r>
              <w:rPr>
                <w:noProof/>
                <w:webHidden/>
              </w:rPr>
              <w:fldChar w:fldCharType="separate"/>
            </w:r>
            <w:r w:rsidR="00787F56">
              <w:rPr>
                <w:noProof/>
                <w:webHidden/>
              </w:rPr>
              <w:t>46</w:t>
            </w:r>
            <w:r>
              <w:rPr>
                <w:noProof/>
                <w:webHidden/>
              </w:rPr>
              <w:fldChar w:fldCharType="end"/>
            </w:r>
          </w:hyperlink>
        </w:p>
        <w:p w14:paraId="3EDD3D06" w14:textId="611680EC"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7" w:history="1">
            <w:r w:rsidRPr="00CD1CF1">
              <w:rPr>
                <w:rStyle w:val="Hyperlink"/>
                <w:noProof/>
              </w:rPr>
              <w:t>7.1 Completarea formularului cererii</w:t>
            </w:r>
            <w:r>
              <w:rPr>
                <w:noProof/>
                <w:webHidden/>
              </w:rPr>
              <w:tab/>
            </w:r>
            <w:r>
              <w:rPr>
                <w:noProof/>
                <w:webHidden/>
              </w:rPr>
              <w:fldChar w:fldCharType="begin"/>
            </w:r>
            <w:r>
              <w:rPr>
                <w:noProof/>
                <w:webHidden/>
              </w:rPr>
              <w:instrText xml:space="preserve"> PAGEREF _Toc213405587 \h </w:instrText>
            </w:r>
            <w:r>
              <w:rPr>
                <w:noProof/>
                <w:webHidden/>
              </w:rPr>
            </w:r>
            <w:r>
              <w:rPr>
                <w:noProof/>
                <w:webHidden/>
              </w:rPr>
              <w:fldChar w:fldCharType="separate"/>
            </w:r>
            <w:r w:rsidR="00787F56">
              <w:rPr>
                <w:noProof/>
                <w:webHidden/>
              </w:rPr>
              <w:t>46</w:t>
            </w:r>
            <w:r>
              <w:rPr>
                <w:noProof/>
                <w:webHidden/>
              </w:rPr>
              <w:fldChar w:fldCharType="end"/>
            </w:r>
          </w:hyperlink>
        </w:p>
        <w:p w14:paraId="487AEE57" w14:textId="7C03C82C"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8" w:history="1">
            <w:r w:rsidRPr="00CD1CF1">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_Toc213405588 \h </w:instrText>
            </w:r>
            <w:r>
              <w:rPr>
                <w:noProof/>
                <w:webHidden/>
              </w:rPr>
            </w:r>
            <w:r>
              <w:rPr>
                <w:noProof/>
                <w:webHidden/>
              </w:rPr>
              <w:fldChar w:fldCharType="separate"/>
            </w:r>
            <w:r w:rsidR="00787F56">
              <w:rPr>
                <w:noProof/>
                <w:webHidden/>
              </w:rPr>
              <w:t>47</w:t>
            </w:r>
            <w:r>
              <w:rPr>
                <w:noProof/>
                <w:webHidden/>
              </w:rPr>
              <w:fldChar w:fldCharType="end"/>
            </w:r>
          </w:hyperlink>
        </w:p>
        <w:p w14:paraId="2F164D4F" w14:textId="3BFD7C34"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89" w:history="1">
            <w:r w:rsidRPr="00CD1CF1">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_Toc213405589 \h </w:instrText>
            </w:r>
            <w:r>
              <w:rPr>
                <w:noProof/>
                <w:webHidden/>
              </w:rPr>
            </w:r>
            <w:r>
              <w:rPr>
                <w:noProof/>
                <w:webHidden/>
              </w:rPr>
              <w:fldChar w:fldCharType="separate"/>
            </w:r>
            <w:r w:rsidR="00787F56">
              <w:rPr>
                <w:noProof/>
                <w:webHidden/>
              </w:rPr>
              <w:t>48</w:t>
            </w:r>
            <w:r>
              <w:rPr>
                <w:noProof/>
                <w:webHidden/>
              </w:rPr>
              <w:fldChar w:fldCharType="end"/>
            </w:r>
          </w:hyperlink>
        </w:p>
        <w:p w14:paraId="05A0910A" w14:textId="40F25161"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0" w:history="1">
            <w:r w:rsidRPr="00CD1CF1">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_Toc213405590 \h </w:instrText>
            </w:r>
            <w:r>
              <w:rPr>
                <w:noProof/>
                <w:webHidden/>
              </w:rPr>
            </w:r>
            <w:r>
              <w:rPr>
                <w:noProof/>
                <w:webHidden/>
              </w:rPr>
              <w:fldChar w:fldCharType="separate"/>
            </w:r>
            <w:r w:rsidR="00787F56">
              <w:rPr>
                <w:noProof/>
                <w:webHidden/>
              </w:rPr>
              <w:t>49</w:t>
            </w:r>
            <w:r>
              <w:rPr>
                <w:noProof/>
                <w:webHidden/>
              </w:rPr>
              <w:fldChar w:fldCharType="end"/>
            </w:r>
          </w:hyperlink>
        </w:p>
        <w:p w14:paraId="7BE8EF17" w14:textId="55F495C2"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1" w:history="1">
            <w:r w:rsidRPr="00CD1CF1">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_Toc213405591 \h </w:instrText>
            </w:r>
            <w:r>
              <w:rPr>
                <w:noProof/>
                <w:webHidden/>
              </w:rPr>
            </w:r>
            <w:r>
              <w:rPr>
                <w:noProof/>
                <w:webHidden/>
              </w:rPr>
              <w:fldChar w:fldCharType="separate"/>
            </w:r>
            <w:r w:rsidR="00787F56">
              <w:rPr>
                <w:noProof/>
                <w:webHidden/>
              </w:rPr>
              <w:t>54</w:t>
            </w:r>
            <w:r>
              <w:rPr>
                <w:noProof/>
                <w:webHidden/>
              </w:rPr>
              <w:fldChar w:fldCharType="end"/>
            </w:r>
          </w:hyperlink>
        </w:p>
        <w:p w14:paraId="322949FB" w14:textId="6E067B58"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2" w:history="1">
            <w:r w:rsidRPr="00CD1CF1">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_Toc213405592 \h </w:instrText>
            </w:r>
            <w:r>
              <w:rPr>
                <w:noProof/>
                <w:webHidden/>
              </w:rPr>
            </w:r>
            <w:r>
              <w:rPr>
                <w:noProof/>
                <w:webHidden/>
              </w:rPr>
              <w:fldChar w:fldCharType="separate"/>
            </w:r>
            <w:r w:rsidR="00787F56">
              <w:rPr>
                <w:noProof/>
                <w:webHidden/>
              </w:rPr>
              <w:t>55</w:t>
            </w:r>
            <w:r>
              <w:rPr>
                <w:noProof/>
                <w:webHidden/>
              </w:rPr>
              <w:fldChar w:fldCharType="end"/>
            </w:r>
          </w:hyperlink>
        </w:p>
        <w:p w14:paraId="7507E923" w14:textId="443B33BC"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3" w:history="1">
            <w:r w:rsidRPr="00CD1CF1">
              <w:rPr>
                <w:rStyle w:val="Hyperlink"/>
                <w:noProof/>
              </w:rPr>
              <w:t>7.7 Renunțarea la cererea de finanțare</w:t>
            </w:r>
            <w:r>
              <w:rPr>
                <w:noProof/>
                <w:webHidden/>
              </w:rPr>
              <w:tab/>
            </w:r>
            <w:r>
              <w:rPr>
                <w:noProof/>
                <w:webHidden/>
              </w:rPr>
              <w:fldChar w:fldCharType="begin"/>
            </w:r>
            <w:r>
              <w:rPr>
                <w:noProof/>
                <w:webHidden/>
              </w:rPr>
              <w:instrText xml:space="preserve"> PAGEREF _Toc213405593 \h </w:instrText>
            </w:r>
            <w:r>
              <w:rPr>
                <w:noProof/>
                <w:webHidden/>
              </w:rPr>
            </w:r>
            <w:r>
              <w:rPr>
                <w:noProof/>
                <w:webHidden/>
              </w:rPr>
              <w:fldChar w:fldCharType="separate"/>
            </w:r>
            <w:r w:rsidR="00787F56">
              <w:rPr>
                <w:noProof/>
                <w:webHidden/>
              </w:rPr>
              <w:t>57</w:t>
            </w:r>
            <w:r>
              <w:rPr>
                <w:noProof/>
                <w:webHidden/>
              </w:rPr>
              <w:fldChar w:fldCharType="end"/>
            </w:r>
          </w:hyperlink>
        </w:p>
        <w:p w14:paraId="4B87E471" w14:textId="62307E35" w:rsidR="00B330F8" w:rsidRDefault="00B330F8">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4" w:history="1">
            <w:r w:rsidRPr="00CD1CF1">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_Toc213405594 \h </w:instrText>
            </w:r>
            <w:r>
              <w:rPr>
                <w:noProof/>
                <w:webHidden/>
              </w:rPr>
            </w:r>
            <w:r>
              <w:rPr>
                <w:noProof/>
                <w:webHidden/>
              </w:rPr>
              <w:fldChar w:fldCharType="separate"/>
            </w:r>
            <w:r w:rsidR="00787F56">
              <w:rPr>
                <w:noProof/>
                <w:webHidden/>
              </w:rPr>
              <w:t>57</w:t>
            </w:r>
            <w:r>
              <w:rPr>
                <w:noProof/>
                <w:webHidden/>
              </w:rPr>
              <w:fldChar w:fldCharType="end"/>
            </w:r>
          </w:hyperlink>
        </w:p>
        <w:p w14:paraId="37539F4A" w14:textId="7079E4A3"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5" w:history="1">
            <w:r w:rsidRPr="00CD1CF1">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_Toc213405595 \h </w:instrText>
            </w:r>
            <w:r>
              <w:rPr>
                <w:noProof/>
                <w:webHidden/>
              </w:rPr>
            </w:r>
            <w:r>
              <w:rPr>
                <w:noProof/>
                <w:webHidden/>
              </w:rPr>
              <w:fldChar w:fldCharType="separate"/>
            </w:r>
            <w:r w:rsidR="00787F56">
              <w:rPr>
                <w:noProof/>
                <w:webHidden/>
              </w:rPr>
              <w:t>57</w:t>
            </w:r>
            <w:r>
              <w:rPr>
                <w:noProof/>
                <w:webHidden/>
              </w:rPr>
              <w:fldChar w:fldCharType="end"/>
            </w:r>
          </w:hyperlink>
        </w:p>
        <w:p w14:paraId="1E12A45D" w14:textId="6B8D1E6A"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6" w:history="1">
            <w:r w:rsidRPr="00CD1CF1">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_Toc213405596 \h </w:instrText>
            </w:r>
            <w:r>
              <w:rPr>
                <w:noProof/>
                <w:webHidden/>
              </w:rPr>
            </w:r>
            <w:r>
              <w:rPr>
                <w:noProof/>
                <w:webHidden/>
              </w:rPr>
              <w:fldChar w:fldCharType="separate"/>
            </w:r>
            <w:r w:rsidR="00787F56">
              <w:rPr>
                <w:noProof/>
                <w:webHidden/>
              </w:rPr>
              <w:t>57</w:t>
            </w:r>
            <w:r>
              <w:rPr>
                <w:noProof/>
                <w:webHidden/>
              </w:rPr>
              <w:fldChar w:fldCharType="end"/>
            </w:r>
          </w:hyperlink>
        </w:p>
        <w:p w14:paraId="4C384C64" w14:textId="3DAC87E7"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7" w:history="1">
            <w:r w:rsidRPr="00CD1CF1">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_Toc213405597 \h </w:instrText>
            </w:r>
            <w:r>
              <w:rPr>
                <w:noProof/>
                <w:webHidden/>
              </w:rPr>
            </w:r>
            <w:r>
              <w:rPr>
                <w:noProof/>
                <w:webHidden/>
              </w:rPr>
              <w:fldChar w:fldCharType="separate"/>
            </w:r>
            <w:r w:rsidR="00787F56">
              <w:rPr>
                <w:noProof/>
                <w:webHidden/>
              </w:rPr>
              <w:t>58</w:t>
            </w:r>
            <w:r>
              <w:rPr>
                <w:noProof/>
                <w:webHidden/>
              </w:rPr>
              <w:fldChar w:fldCharType="end"/>
            </w:r>
          </w:hyperlink>
        </w:p>
        <w:p w14:paraId="26D7728B" w14:textId="09955C49"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8" w:history="1">
            <w:r w:rsidRPr="00CD1CF1">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_Toc213405598 \h </w:instrText>
            </w:r>
            <w:r>
              <w:rPr>
                <w:noProof/>
                <w:webHidden/>
              </w:rPr>
            </w:r>
            <w:r>
              <w:rPr>
                <w:noProof/>
                <w:webHidden/>
              </w:rPr>
              <w:fldChar w:fldCharType="separate"/>
            </w:r>
            <w:r w:rsidR="00787F56">
              <w:rPr>
                <w:noProof/>
                <w:webHidden/>
              </w:rPr>
              <w:t>58</w:t>
            </w:r>
            <w:r>
              <w:rPr>
                <w:noProof/>
                <w:webHidden/>
              </w:rPr>
              <w:fldChar w:fldCharType="end"/>
            </w:r>
          </w:hyperlink>
        </w:p>
        <w:p w14:paraId="32520CA6" w14:textId="64465A25" w:rsidR="00B330F8" w:rsidRDefault="00B330F8">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599" w:history="1">
            <w:r w:rsidRPr="00CD1CF1">
              <w:rPr>
                <w:rStyle w:val="Hyperlink"/>
                <w:noProof/>
              </w:rPr>
              <w:t>8.4</w:t>
            </w:r>
            <w:r>
              <w:rPr>
                <w:rFonts w:asciiTheme="minorHAnsi" w:eastAsiaTheme="minorEastAsia" w:hAnsiTheme="minorHAnsi" w:cstheme="minorBidi"/>
                <w:noProof/>
                <w:kern w:val="2"/>
                <w:sz w:val="24"/>
                <w:szCs w:val="24"/>
                <w:lang w:val="en-US"/>
                <w14:ligatures w14:val="standardContextual"/>
              </w:rPr>
              <w:tab/>
            </w:r>
            <w:r w:rsidRPr="00CD1CF1">
              <w:rPr>
                <w:rStyle w:val="Hyperlink"/>
                <w:noProof/>
              </w:rPr>
              <w:t>Aplicarea pragului de calitate</w:t>
            </w:r>
            <w:r>
              <w:rPr>
                <w:noProof/>
                <w:webHidden/>
              </w:rPr>
              <w:tab/>
            </w:r>
            <w:r>
              <w:rPr>
                <w:noProof/>
                <w:webHidden/>
              </w:rPr>
              <w:fldChar w:fldCharType="begin"/>
            </w:r>
            <w:r>
              <w:rPr>
                <w:noProof/>
                <w:webHidden/>
              </w:rPr>
              <w:instrText xml:space="preserve"> PAGEREF _Toc213405599 \h </w:instrText>
            </w:r>
            <w:r>
              <w:rPr>
                <w:noProof/>
                <w:webHidden/>
              </w:rPr>
            </w:r>
            <w:r>
              <w:rPr>
                <w:noProof/>
                <w:webHidden/>
              </w:rPr>
              <w:fldChar w:fldCharType="separate"/>
            </w:r>
            <w:r w:rsidR="00787F56">
              <w:rPr>
                <w:noProof/>
                <w:webHidden/>
              </w:rPr>
              <w:t>59</w:t>
            </w:r>
            <w:r>
              <w:rPr>
                <w:noProof/>
                <w:webHidden/>
              </w:rPr>
              <w:fldChar w:fldCharType="end"/>
            </w:r>
          </w:hyperlink>
        </w:p>
        <w:p w14:paraId="10BC0118" w14:textId="7D929567"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0" w:history="1">
            <w:r w:rsidRPr="00CD1CF1">
              <w:rPr>
                <w:rStyle w:val="Hyperlink"/>
                <w:noProof/>
              </w:rPr>
              <w:t>8.6 Aplicarea pragului de excelență</w:t>
            </w:r>
            <w:r>
              <w:rPr>
                <w:noProof/>
                <w:webHidden/>
              </w:rPr>
              <w:tab/>
            </w:r>
            <w:r>
              <w:rPr>
                <w:noProof/>
                <w:webHidden/>
              </w:rPr>
              <w:fldChar w:fldCharType="begin"/>
            </w:r>
            <w:r>
              <w:rPr>
                <w:noProof/>
                <w:webHidden/>
              </w:rPr>
              <w:instrText xml:space="preserve"> PAGEREF _Toc213405600 \h </w:instrText>
            </w:r>
            <w:r>
              <w:rPr>
                <w:noProof/>
                <w:webHidden/>
              </w:rPr>
            </w:r>
            <w:r>
              <w:rPr>
                <w:noProof/>
                <w:webHidden/>
              </w:rPr>
              <w:fldChar w:fldCharType="separate"/>
            </w:r>
            <w:r w:rsidR="00787F56">
              <w:rPr>
                <w:noProof/>
                <w:webHidden/>
              </w:rPr>
              <w:t>59</w:t>
            </w:r>
            <w:r>
              <w:rPr>
                <w:noProof/>
                <w:webHidden/>
              </w:rPr>
              <w:fldChar w:fldCharType="end"/>
            </w:r>
          </w:hyperlink>
        </w:p>
        <w:p w14:paraId="17829F75" w14:textId="26F1422F"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1" w:history="1">
            <w:r w:rsidRPr="00CD1CF1">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_Toc213405601 \h </w:instrText>
            </w:r>
            <w:r>
              <w:rPr>
                <w:noProof/>
                <w:webHidden/>
              </w:rPr>
            </w:r>
            <w:r>
              <w:rPr>
                <w:noProof/>
                <w:webHidden/>
              </w:rPr>
              <w:fldChar w:fldCharType="separate"/>
            </w:r>
            <w:r w:rsidR="00787F56">
              <w:rPr>
                <w:noProof/>
                <w:webHidden/>
              </w:rPr>
              <w:t>60</w:t>
            </w:r>
            <w:r>
              <w:rPr>
                <w:noProof/>
                <w:webHidden/>
              </w:rPr>
              <w:fldChar w:fldCharType="end"/>
            </w:r>
          </w:hyperlink>
        </w:p>
        <w:p w14:paraId="092C05A7" w14:textId="52ADDC98"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2" w:history="1">
            <w:r w:rsidRPr="00CD1CF1">
              <w:rPr>
                <w:rStyle w:val="Hyperlink"/>
                <w:noProof/>
              </w:rPr>
              <w:t>8.8 Contestații</w:t>
            </w:r>
            <w:r>
              <w:rPr>
                <w:noProof/>
                <w:webHidden/>
              </w:rPr>
              <w:tab/>
            </w:r>
            <w:r>
              <w:rPr>
                <w:noProof/>
                <w:webHidden/>
              </w:rPr>
              <w:fldChar w:fldCharType="begin"/>
            </w:r>
            <w:r>
              <w:rPr>
                <w:noProof/>
                <w:webHidden/>
              </w:rPr>
              <w:instrText xml:space="preserve"> PAGEREF _Toc213405602 \h </w:instrText>
            </w:r>
            <w:r>
              <w:rPr>
                <w:noProof/>
                <w:webHidden/>
              </w:rPr>
            </w:r>
            <w:r>
              <w:rPr>
                <w:noProof/>
                <w:webHidden/>
              </w:rPr>
              <w:fldChar w:fldCharType="separate"/>
            </w:r>
            <w:r w:rsidR="00787F56">
              <w:rPr>
                <w:noProof/>
                <w:webHidden/>
              </w:rPr>
              <w:t>60</w:t>
            </w:r>
            <w:r>
              <w:rPr>
                <w:noProof/>
                <w:webHidden/>
              </w:rPr>
              <w:fldChar w:fldCharType="end"/>
            </w:r>
          </w:hyperlink>
        </w:p>
        <w:p w14:paraId="78E18958" w14:textId="2DE226F2"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3" w:history="1">
            <w:r w:rsidRPr="00CD1CF1">
              <w:rPr>
                <w:rStyle w:val="Hyperlink"/>
                <w:noProof/>
              </w:rPr>
              <w:t>8.9 Contractarea proiectelor</w:t>
            </w:r>
            <w:r>
              <w:rPr>
                <w:noProof/>
                <w:webHidden/>
              </w:rPr>
              <w:tab/>
            </w:r>
            <w:r>
              <w:rPr>
                <w:noProof/>
                <w:webHidden/>
              </w:rPr>
              <w:fldChar w:fldCharType="begin"/>
            </w:r>
            <w:r>
              <w:rPr>
                <w:noProof/>
                <w:webHidden/>
              </w:rPr>
              <w:instrText xml:space="preserve"> PAGEREF _Toc213405603 \h </w:instrText>
            </w:r>
            <w:r>
              <w:rPr>
                <w:noProof/>
                <w:webHidden/>
              </w:rPr>
            </w:r>
            <w:r>
              <w:rPr>
                <w:noProof/>
                <w:webHidden/>
              </w:rPr>
              <w:fldChar w:fldCharType="separate"/>
            </w:r>
            <w:r w:rsidR="00787F56">
              <w:rPr>
                <w:noProof/>
                <w:webHidden/>
              </w:rPr>
              <w:t>60</w:t>
            </w:r>
            <w:r>
              <w:rPr>
                <w:noProof/>
                <w:webHidden/>
              </w:rPr>
              <w:fldChar w:fldCharType="end"/>
            </w:r>
          </w:hyperlink>
        </w:p>
        <w:p w14:paraId="7F5EDF37" w14:textId="1B9FABCA"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4" w:history="1">
            <w:r w:rsidRPr="00CD1CF1">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_Toc213405604 \h </w:instrText>
            </w:r>
            <w:r>
              <w:rPr>
                <w:noProof/>
                <w:webHidden/>
              </w:rPr>
            </w:r>
            <w:r>
              <w:rPr>
                <w:noProof/>
                <w:webHidden/>
              </w:rPr>
              <w:fldChar w:fldCharType="separate"/>
            </w:r>
            <w:r w:rsidR="00787F56">
              <w:rPr>
                <w:noProof/>
                <w:webHidden/>
              </w:rPr>
              <w:t>60</w:t>
            </w:r>
            <w:r>
              <w:rPr>
                <w:noProof/>
                <w:webHidden/>
              </w:rPr>
              <w:fldChar w:fldCharType="end"/>
            </w:r>
          </w:hyperlink>
        </w:p>
        <w:p w14:paraId="75A630B2" w14:textId="03CB46DA"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5" w:history="1">
            <w:r w:rsidRPr="00CD1CF1">
              <w:rPr>
                <w:rStyle w:val="Hyperlink"/>
                <w:noProof/>
              </w:rPr>
              <w:t>8.9.2 Decizia de acordare/respingere a finanțării</w:t>
            </w:r>
            <w:r>
              <w:rPr>
                <w:noProof/>
                <w:webHidden/>
              </w:rPr>
              <w:tab/>
            </w:r>
            <w:r>
              <w:rPr>
                <w:noProof/>
                <w:webHidden/>
              </w:rPr>
              <w:fldChar w:fldCharType="begin"/>
            </w:r>
            <w:r>
              <w:rPr>
                <w:noProof/>
                <w:webHidden/>
              </w:rPr>
              <w:instrText xml:space="preserve"> PAGEREF _Toc213405605 \h </w:instrText>
            </w:r>
            <w:r>
              <w:rPr>
                <w:noProof/>
                <w:webHidden/>
              </w:rPr>
            </w:r>
            <w:r>
              <w:rPr>
                <w:noProof/>
                <w:webHidden/>
              </w:rPr>
              <w:fldChar w:fldCharType="separate"/>
            </w:r>
            <w:r w:rsidR="00787F56">
              <w:rPr>
                <w:noProof/>
                <w:webHidden/>
              </w:rPr>
              <w:t>61</w:t>
            </w:r>
            <w:r>
              <w:rPr>
                <w:noProof/>
                <w:webHidden/>
              </w:rPr>
              <w:fldChar w:fldCharType="end"/>
            </w:r>
          </w:hyperlink>
        </w:p>
        <w:p w14:paraId="03A71647" w14:textId="7F7BA188"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6" w:history="1">
            <w:r w:rsidRPr="00CD1CF1">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_Toc213405606 \h </w:instrText>
            </w:r>
            <w:r>
              <w:rPr>
                <w:noProof/>
                <w:webHidden/>
              </w:rPr>
            </w:r>
            <w:r>
              <w:rPr>
                <w:noProof/>
                <w:webHidden/>
              </w:rPr>
              <w:fldChar w:fldCharType="separate"/>
            </w:r>
            <w:r w:rsidR="00787F56">
              <w:rPr>
                <w:noProof/>
                <w:webHidden/>
              </w:rPr>
              <w:t>62</w:t>
            </w:r>
            <w:r>
              <w:rPr>
                <w:noProof/>
                <w:webHidden/>
              </w:rPr>
              <w:fldChar w:fldCharType="end"/>
            </w:r>
          </w:hyperlink>
        </w:p>
        <w:p w14:paraId="3C0E4DC7" w14:textId="64D5B83B" w:rsidR="00B330F8" w:rsidRDefault="00B330F8">
          <w:pPr>
            <w:pStyle w:val="TOC3"/>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7" w:history="1">
            <w:r w:rsidRPr="00CD1CF1">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_Toc213405607 \h </w:instrText>
            </w:r>
            <w:r>
              <w:rPr>
                <w:noProof/>
                <w:webHidden/>
              </w:rPr>
            </w:r>
            <w:r>
              <w:rPr>
                <w:noProof/>
                <w:webHidden/>
              </w:rPr>
              <w:fldChar w:fldCharType="separate"/>
            </w:r>
            <w:r w:rsidR="00787F56">
              <w:rPr>
                <w:noProof/>
                <w:webHidden/>
              </w:rPr>
              <w:t>62</w:t>
            </w:r>
            <w:r>
              <w:rPr>
                <w:noProof/>
                <w:webHidden/>
              </w:rPr>
              <w:fldChar w:fldCharType="end"/>
            </w:r>
          </w:hyperlink>
        </w:p>
        <w:p w14:paraId="0BCA96AD" w14:textId="6A50CCA8" w:rsidR="00B330F8" w:rsidRDefault="00B330F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8" w:history="1">
            <w:r w:rsidRPr="00CD1CF1">
              <w:rPr>
                <w:rStyle w:val="Hyperlink"/>
                <w:noProof/>
              </w:rPr>
              <w:t>9 ASPECTE PRIVIND CONFLICTUL DE INTERESE</w:t>
            </w:r>
            <w:r>
              <w:rPr>
                <w:noProof/>
                <w:webHidden/>
              </w:rPr>
              <w:tab/>
            </w:r>
            <w:r>
              <w:rPr>
                <w:noProof/>
                <w:webHidden/>
              </w:rPr>
              <w:fldChar w:fldCharType="begin"/>
            </w:r>
            <w:r>
              <w:rPr>
                <w:noProof/>
                <w:webHidden/>
              </w:rPr>
              <w:instrText xml:space="preserve"> PAGEREF _Toc213405608 \h </w:instrText>
            </w:r>
            <w:r>
              <w:rPr>
                <w:noProof/>
                <w:webHidden/>
              </w:rPr>
            </w:r>
            <w:r>
              <w:rPr>
                <w:noProof/>
                <w:webHidden/>
              </w:rPr>
              <w:fldChar w:fldCharType="separate"/>
            </w:r>
            <w:r w:rsidR="00787F56">
              <w:rPr>
                <w:noProof/>
                <w:webHidden/>
              </w:rPr>
              <w:t>63</w:t>
            </w:r>
            <w:r>
              <w:rPr>
                <w:noProof/>
                <w:webHidden/>
              </w:rPr>
              <w:fldChar w:fldCharType="end"/>
            </w:r>
          </w:hyperlink>
        </w:p>
        <w:p w14:paraId="760313FB" w14:textId="723C07AE" w:rsidR="00B330F8" w:rsidRDefault="00B330F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09" w:history="1">
            <w:r w:rsidRPr="00CD1CF1">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_Toc213405609 \h </w:instrText>
            </w:r>
            <w:r>
              <w:rPr>
                <w:noProof/>
                <w:webHidden/>
              </w:rPr>
            </w:r>
            <w:r>
              <w:rPr>
                <w:noProof/>
                <w:webHidden/>
              </w:rPr>
              <w:fldChar w:fldCharType="separate"/>
            </w:r>
            <w:r w:rsidR="00787F56">
              <w:rPr>
                <w:noProof/>
                <w:webHidden/>
              </w:rPr>
              <w:t>63</w:t>
            </w:r>
            <w:r>
              <w:rPr>
                <w:noProof/>
                <w:webHidden/>
              </w:rPr>
              <w:fldChar w:fldCharType="end"/>
            </w:r>
          </w:hyperlink>
        </w:p>
        <w:p w14:paraId="6F2279AB" w14:textId="7DB5798C" w:rsidR="00B330F8" w:rsidRDefault="00B330F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0" w:history="1">
            <w:r w:rsidRPr="00CD1CF1">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_Toc213405610 \h </w:instrText>
            </w:r>
            <w:r>
              <w:rPr>
                <w:noProof/>
                <w:webHidden/>
              </w:rPr>
            </w:r>
            <w:r>
              <w:rPr>
                <w:noProof/>
                <w:webHidden/>
              </w:rPr>
              <w:fldChar w:fldCharType="separate"/>
            </w:r>
            <w:r w:rsidR="00787F56">
              <w:rPr>
                <w:noProof/>
                <w:webHidden/>
              </w:rPr>
              <w:t>63</w:t>
            </w:r>
            <w:r>
              <w:rPr>
                <w:noProof/>
                <w:webHidden/>
              </w:rPr>
              <w:fldChar w:fldCharType="end"/>
            </w:r>
          </w:hyperlink>
        </w:p>
        <w:p w14:paraId="18A28E22" w14:textId="776EBC7D"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1" w:history="1">
            <w:r w:rsidRPr="00CD1CF1">
              <w:rPr>
                <w:rStyle w:val="Hyperlink"/>
                <w:noProof/>
              </w:rPr>
              <w:t>11.1 Rapoartele de progres</w:t>
            </w:r>
            <w:r>
              <w:rPr>
                <w:noProof/>
                <w:webHidden/>
              </w:rPr>
              <w:tab/>
            </w:r>
            <w:r>
              <w:rPr>
                <w:noProof/>
                <w:webHidden/>
              </w:rPr>
              <w:fldChar w:fldCharType="begin"/>
            </w:r>
            <w:r>
              <w:rPr>
                <w:noProof/>
                <w:webHidden/>
              </w:rPr>
              <w:instrText xml:space="preserve"> PAGEREF _Toc213405611 \h </w:instrText>
            </w:r>
            <w:r>
              <w:rPr>
                <w:noProof/>
                <w:webHidden/>
              </w:rPr>
            </w:r>
            <w:r>
              <w:rPr>
                <w:noProof/>
                <w:webHidden/>
              </w:rPr>
              <w:fldChar w:fldCharType="separate"/>
            </w:r>
            <w:r w:rsidR="00787F56">
              <w:rPr>
                <w:noProof/>
                <w:webHidden/>
              </w:rPr>
              <w:t>64</w:t>
            </w:r>
            <w:r>
              <w:rPr>
                <w:noProof/>
                <w:webHidden/>
              </w:rPr>
              <w:fldChar w:fldCharType="end"/>
            </w:r>
          </w:hyperlink>
        </w:p>
        <w:p w14:paraId="2F336F51" w14:textId="75590D4B"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2" w:history="1">
            <w:r w:rsidRPr="00CD1CF1">
              <w:rPr>
                <w:rStyle w:val="Hyperlink"/>
                <w:noProof/>
              </w:rPr>
              <w:t>11.2 Vizitele de monitorizare</w:t>
            </w:r>
            <w:r>
              <w:rPr>
                <w:noProof/>
                <w:webHidden/>
              </w:rPr>
              <w:tab/>
            </w:r>
            <w:r>
              <w:rPr>
                <w:noProof/>
                <w:webHidden/>
              </w:rPr>
              <w:fldChar w:fldCharType="begin"/>
            </w:r>
            <w:r>
              <w:rPr>
                <w:noProof/>
                <w:webHidden/>
              </w:rPr>
              <w:instrText xml:space="preserve"> PAGEREF _Toc213405612 \h </w:instrText>
            </w:r>
            <w:r>
              <w:rPr>
                <w:noProof/>
                <w:webHidden/>
              </w:rPr>
            </w:r>
            <w:r>
              <w:rPr>
                <w:noProof/>
                <w:webHidden/>
              </w:rPr>
              <w:fldChar w:fldCharType="separate"/>
            </w:r>
            <w:r w:rsidR="00787F56">
              <w:rPr>
                <w:noProof/>
                <w:webHidden/>
              </w:rPr>
              <w:t>65</w:t>
            </w:r>
            <w:r>
              <w:rPr>
                <w:noProof/>
                <w:webHidden/>
              </w:rPr>
              <w:fldChar w:fldCharType="end"/>
            </w:r>
          </w:hyperlink>
        </w:p>
        <w:p w14:paraId="63423C68" w14:textId="219DDE98"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3" w:history="1">
            <w:r w:rsidRPr="00CD1CF1">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_Toc213405613 \h </w:instrText>
            </w:r>
            <w:r>
              <w:rPr>
                <w:noProof/>
                <w:webHidden/>
              </w:rPr>
            </w:r>
            <w:r>
              <w:rPr>
                <w:noProof/>
                <w:webHidden/>
              </w:rPr>
              <w:fldChar w:fldCharType="separate"/>
            </w:r>
            <w:r w:rsidR="00787F56">
              <w:rPr>
                <w:noProof/>
                <w:webHidden/>
              </w:rPr>
              <w:t>65</w:t>
            </w:r>
            <w:r>
              <w:rPr>
                <w:noProof/>
                <w:webHidden/>
              </w:rPr>
              <w:fldChar w:fldCharType="end"/>
            </w:r>
          </w:hyperlink>
        </w:p>
        <w:p w14:paraId="7F1454A5" w14:textId="517881E2" w:rsidR="00B330F8" w:rsidRDefault="00B330F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4" w:history="1">
            <w:r w:rsidRPr="00CD1CF1">
              <w:rPr>
                <w:rStyle w:val="Hyperlink"/>
                <w:noProof/>
              </w:rPr>
              <w:t>12 ASPECTE PRIVIND MANAGEMENTUL FINANCIAR</w:t>
            </w:r>
            <w:r>
              <w:rPr>
                <w:noProof/>
                <w:webHidden/>
              </w:rPr>
              <w:tab/>
            </w:r>
            <w:r>
              <w:rPr>
                <w:noProof/>
                <w:webHidden/>
              </w:rPr>
              <w:fldChar w:fldCharType="begin"/>
            </w:r>
            <w:r>
              <w:rPr>
                <w:noProof/>
                <w:webHidden/>
              </w:rPr>
              <w:instrText xml:space="preserve"> PAGEREF _Toc213405614 \h </w:instrText>
            </w:r>
            <w:r>
              <w:rPr>
                <w:noProof/>
                <w:webHidden/>
              </w:rPr>
            </w:r>
            <w:r>
              <w:rPr>
                <w:noProof/>
                <w:webHidden/>
              </w:rPr>
              <w:fldChar w:fldCharType="separate"/>
            </w:r>
            <w:r w:rsidR="00787F56">
              <w:rPr>
                <w:noProof/>
                <w:webHidden/>
              </w:rPr>
              <w:t>66</w:t>
            </w:r>
            <w:r>
              <w:rPr>
                <w:noProof/>
                <w:webHidden/>
              </w:rPr>
              <w:fldChar w:fldCharType="end"/>
            </w:r>
          </w:hyperlink>
        </w:p>
        <w:p w14:paraId="4A00293D" w14:textId="1A38DBB0"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5" w:history="1">
            <w:r w:rsidRPr="00CD1CF1">
              <w:rPr>
                <w:rStyle w:val="Hyperlink"/>
                <w:noProof/>
              </w:rPr>
              <w:t>12.1 Mecanismul cererilor de prefinanțare</w:t>
            </w:r>
            <w:r>
              <w:rPr>
                <w:noProof/>
                <w:webHidden/>
              </w:rPr>
              <w:tab/>
            </w:r>
            <w:r>
              <w:rPr>
                <w:noProof/>
                <w:webHidden/>
              </w:rPr>
              <w:fldChar w:fldCharType="begin"/>
            </w:r>
            <w:r>
              <w:rPr>
                <w:noProof/>
                <w:webHidden/>
              </w:rPr>
              <w:instrText xml:space="preserve"> PAGEREF _Toc213405615 \h </w:instrText>
            </w:r>
            <w:r>
              <w:rPr>
                <w:noProof/>
                <w:webHidden/>
              </w:rPr>
            </w:r>
            <w:r>
              <w:rPr>
                <w:noProof/>
                <w:webHidden/>
              </w:rPr>
              <w:fldChar w:fldCharType="separate"/>
            </w:r>
            <w:r w:rsidR="00787F56">
              <w:rPr>
                <w:noProof/>
                <w:webHidden/>
              </w:rPr>
              <w:t>67</w:t>
            </w:r>
            <w:r>
              <w:rPr>
                <w:noProof/>
                <w:webHidden/>
              </w:rPr>
              <w:fldChar w:fldCharType="end"/>
            </w:r>
          </w:hyperlink>
        </w:p>
        <w:p w14:paraId="033AE733" w14:textId="3CF77136"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6" w:history="1">
            <w:r w:rsidRPr="00CD1CF1">
              <w:rPr>
                <w:rStyle w:val="Hyperlink"/>
                <w:noProof/>
              </w:rPr>
              <w:t>12.2 Mecanismul cererilor de plată</w:t>
            </w:r>
            <w:r>
              <w:rPr>
                <w:noProof/>
                <w:webHidden/>
              </w:rPr>
              <w:tab/>
            </w:r>
            <w:r>
              <w:rPr>
                <w:noProof/>
                <w:webHidden/>
              </w:rPr>
              <w:fldChar w:fldCharType="begin"/>
            </w:r>
            <w:r>
              <w:rPr>
                <w:noProof/>
                <w:webHidden/>
              </w:rPr>
              <w:instrText xml:space="preserve"> PAGEREF _Toc213405616 \h </w:instrText>
            </w:r>
            <w:r>
              <w:rPr>
                <w:noProof/>
                <w:webHidden/>
              </w:rPr>
            </w:r>
            <w:r>
              <w:rPr>
                <w:noProof/>
                <w:webHidden/>
              </w:rPr>
              <w:fldChar w:fldCharType="separate"/>
            </w:r>
            <w:r w:rsidR="00787F56">
              <w:rPr>
                <w:noProof/>
                <w:webHidden/>
              </w:rPr>
              <w:t>67</w:t>
            </w:r>
            <w:r>
              <w:rPr>
                <w:noProof/>
                <w:webHidden/>
              </w:rPr>
              <w:fldChar w:fldCharType="end"/>
            </w:r>
          </w:hyperlink>
        </w:p>
        <w:p w14:paraId="05C4416F" w14:textId="68C76517"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7" w:history="1">
            <w:r w:rsidRPr="00CD1CF1">
              <w:rPr>
                <w:rStyle w:val="Hyperlink"/>
                <w:noProof/>
              </w:rPr>
              <w:t>12.3 Mecanismul cererilor de rambursare</w:t>
            </w:r>
            <w:r>
              <w:rPr>
                <w:noProof/>
                <w:webHidden/>
              </w:rPr>
              <w:tab/>
            </w:r>
            <w:r>
              <w:rPr>
                <w:noProof/>
                <w:webHidden/>
              </w:rPr>
              <w:fldChar w:fldCharType="begin"/>
            </w:r>
            <w:r>
              <w:rPr>
                <w:noProof/>
                <w:webHidden/>
              </w:rPr>
              <w:instrText xml:space="preserve"> PAGEREF _Toc213405617 \h </w:instrText>
            </w:r>
            <w:r>
              <w:rPr>
                <w:noProof/>
                <w:webHidden/>
              </w:rPr>
            </w:r>
            <w:r>
              <w:rPr>
                <w:noProof/>
                <w:webHidden/>
              </w:rPr>
              <w:fldChar w:fldCharType="separate"/>
            </w:r>
            <w:r w:rsidR="00787F56">
              <w:rPr>
                <w:noProof/>
                <w:webHidden/>
              </w:rPr>
              <w:t>68</w:t>
            </w:r>
            <w:r>
              <w:rPr>
                <w:noProof/>
                <w:webHidden/>
              </w:rPr>
              <w:fldChar w:fldCharType="end"/>
            </w:r>
          </w:hyperlink>
        </w:p>
        <w:p w14:paraId="550EF1C1" w14:textId="30CEB42E"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8" w:history="1">
            <w:r w:rsidRPr="00CD1CF1">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_Toc213405618 \h </w:instrText>
            </w:r>
            <w:r>
              <w:rPr>
                <w:noProof/>
                <w:webHidden/>
              </w:rPr>
            </w:r>
            <w:r>
              <w:rPr>
                <w:noProof/>
                <w:webHidden/>
              </w:rPr>
              <w:fldChar w:fldCharType="separate"/>
            </w:r>
            <w:r w:rsidR="00787F56">
              <w:rPr>
                <w:noProof/>
                <w:webHidden/>
              </w:rPr>
              <w:t>69</w:t>
            </w:r>
            <w:r>
              <w:rPr>
                <w:noProof/>
                <w:webHidden/>
              </w:rPr>
              <w:fldChar w:fldCharType="end"/>
            </w:r>
          </w:hyperlink>
        </w:p>
        <w:p w14:paraId="395D4CF3" w14:textId="196384E1"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19" w:history="1">
            <w:r w:rsidRPr="00CD1CF1">
              <w:rPr>
                <w:rStyle w:val="Hyperlink"/>
                <w:noProof/>
              </w:rPr>
              <w:t>12.5 Vizitele la fața locului</w:t>
            </w:r>
            <w:r>
              <w:rPr>
                <w:noProof/>
                <w:webHidden/>
              </w:rPr>
              <w:tab/>
            </w:r>
            <w:r>
              <w:rPr>
                <w:noProof/>
                <w:webHidden/>
              </w:rPr>
              <w:fldChar w:fldCharType="begin"/>
            </w:r>
            <w:r>
              <w:rPr>
                <w:noProof/>
                <w:webHidden/>
              </w:rPr>
              <w:instrText xml:space="preserve"> PAGEREF _Toc213405619 \h </w:instrText>
            </w:r>
            <w:r>
              <w:rPr>
                <w:noProof/>
                <w:webHidden/>
              </w:rPr>
            </w:r>
            <w:r>
              <w:rPr>
                <w:noProof/>
                <w:webHidden/>
              </w:rPr>
              <w:fldChar w:fldCharType="separate"/>
            </w:r>
            <w:r w:rsidR="00787F56">
              <w:rPr>
                <w:noProof/>
                <w:webHidden/>
              </w:rPr>
              <w:t>69</w:t>
            </w:r>
            <w:r>
              <w:rPr>
                <w:noProof/>
                <w:webHidden/>
              </w:rPr>
              <w:fldChar w:fldCharType="end"/>
            </w:r>
          </w:hyperlink>
        </w:p>
        <w:p w14:paraId="4B5DDAA5" w14:textId="444D7CED" w:rsidR="00B330F8" w:rsidRDefault="00B330F8">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20" w:history="1">
            <w:r w:rsidRPr="00CD1CF1">
              <w:rPr>
                <w:rStyle w:val="Hyperlink"/>
                <w:noProof/>
              </w:rPr>
              <w:t>13 MODIFICAREA GHIDULUI SOLICITANTULUI</w:t>
            </w:r>
            <w:r>
              <w:rPr>
                <w:noProof/>
                <w:webHidden/>
              </w:rPr>
              <w:tab/>
            </w:r>
            <w:r>
              <w:rPr>
                <w:noProof/>
                <w:webHidden/>
              </w:rPr>
              <w:fldChar w:fldCharType="begin"/>
            </w:r>
            <w:r>
              <w:rPr>
                <w:noProof/>
                <w:webHidden/>
              </w:rPr>
              <w:instrText xml:space="preserve"> PAGEREF _Toc213405620 \h </w:instrText>
            </w:r>
            <w:r>
              <w:rPr>
                <w:noProof/>
                <w:webHidden/>
              </w:rPr>
            </w:r>
            <w:r>
              <w:rPr>
                <w:noProof/>
                <w:webHidden/>
              </w:rPr>
              <w:fldChar w:fldCharType="separate"/>
            </w:r>
            <w:r w:rsidR="00787F56">
              <w:rPr>
                <w:noProof/>
                <w:webHidden/>
              </w:rPr>
              <w:t>70</w:t>
            </w:r>
            <w:r>
              <w:rPr>
                <w:noProof/>
                <w:webHidden/>
              </w:rPr>
              <w:fldChar w:fldCharType="end"/>
            </w:r>
          </w:hyperlink>
        </w:p>
        <w:p w14:paraId="6A99DA02" w14:textId="029CB1BE"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21" w:history="1">
            <w:r w:rsidRPr="00CD1CF1">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_Toc213405621 \h </w:instrText>
            </w:r>
            <w:r>
              <w:rPr>
                <w:noProof/>
                <w:webHidden/>
              </w:rPr>
            </w:r>
            <w:r>
              <w:rPr>
                <w:noProof/>
                <w:webHidden/>
              </w:rPr>
              <w:fldChar w:fldCharType="separate"/>
            </w:r>
            <w:r w:rsidR="00787F56">
              <w:rPr>
                <w:noProof/>
                <w:webHidden/>
              </w:rPr>
              <w:t>70</w:t>
            </w:r>
            <w:r>
              <w:rPr>
                <w:noProof/>
                <w:webHidden/>
              </w:rPr>
              <w:fldChar w:fldCharType="end"/>
            </w:r>
          </w:hyperlink>
        </w:p>
        <w:p w14:paraId="2B4D7869" w14:textId="61876735" w:rsidR="00B330F8" w:rsidRDefault="00B330F8">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3405622" w:history="1">
            <w:r w:rsidRPr="00CD1CF1">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_Toc213405622 \h </w:instrText>
            </w:r>
            <w:r>
              <w:rPr>
                <w:noProof/>
                <w:webHidden/>
              </w:rPr>
            </w:r>
            <w:r>
              <w:rPr>
                <w:noProof/>
                <w:webHidden/>
              </w:rPr>
              <w:fldChar w:fldCharType="separate"/>
            </w:r>
            <w:r w:rsidR="00787F56">
              <w:rPr>
                <w:noProof/>
                <w:webHidden/>
              </w:rPr>
              <w:t>71</w:t>
            </w:r>
            <w:r>
              <w:rPr>
                <w:noProof/>
                <w:webHidden/>
              </w:rPr>
              <w:fldChar w:fldCharType="end"/>
            </w:r>
          </w:hyperlink>
        </w:p>
        <w:p w14:paraId="2EB803E7" w14:textId="56112D62" w:rsidR="00A657B7" w:rsidRDefault="00245051">
          <w:r>
            <w:rPr>
              <w:b/>
              <w:bCs/>
            </w:rPr>
            <w:fldChar w:fldCharType="end"/>
          </w:r>
        </w:p>
      </w:sdtContent>
    </w:sdt>
    <w:p w14:paraId="647A7BF3" w14:textId="77777777" w:rsidR="00A657B7" w:rsidRDefault="00A657B7"/>
    <w:p w14:paraId="49F1FA9C" w14:textId="77777777" w:rsidR="00A657B7" w:rsidRDefault="00245051">
      <w:r>
        <w:br w:type="page"/>
      </w:r>
    </w:p>
    <w:p w14:paraId="63280AA3" w14:textId="77777777" w:rsidR="00A657B7" w:rsidRDefault="00245051">
      <w:pPr>
        <w:pStyle w:val="Heading1"/>
        <w:numPr>
          <w:ilvl w:val="0"/>
          <w:numId w:val="3"/>
        </w:numPr>
      </w:pPr>
      <w:bookmarkStart w:id="3" w:name="_Toc143499284"/>
      <w:bookmarkStart w:id="4" w:name="_Toc213405523"/>
      <w:r>
        <w:lastRenderedPageBreak/>
        <w:t>PREAMBUL, ABREVIERI ȘI GLOSAR</w:t>
      </w:r>
      <w:bookmarkEnd w:id="3"/>
      <w:bookmarkEnd w:id="4"/>
    </w:p>
    <w:p w14:paraId="122CF27F" w14:textId="77777777" w:rsidR="00A657B7" w:rsidRDefault="00245051">
      <w:pPr>
        <w:pStyle w:val="Heading2"/>
        <w:numPr>
          <w:ilvl w:val="1"/>
          <w:numId w:val="3"/>
        </w:numPr>
      </w:pPr>
      <w:bookmarkStart w:id="5" w:name="_Toc143499285"/>
      <w:bookmarkStart w:id="6" w:name="_Toc213405524"/>
      <w:r>
        <w:t>Preambul</w:t>
      </w:r>
      <w:bookmarkEnd w:id="5"/>
      <w:bookmarkEnd w:id="6"/>
    </w:p>
    <w:p w14:paraId="615FBF76" w14:textId="77777777" w:rsidR="00A657B7" w:rsidRDefault="00A657B7">
      <w:pPr>
        <w:ind w:left="0"/>
      </w:pPr>
      <w:bookmarkStart w:id="7" w:name="_heading=h.3znysh7"/>
      <w:bookmarkEnd w:id="7"/>
    </w:p>
    <w:p w14:paraId="3140FD17" w14:textId="54D04977" w:rsidR="00A657B7" w:rsidRPr="004F1B1C" w:rsidRDefault="00245051">
      <w:pPr>
        <w:spacing w:before="0" w:after="0"/>
        <w:ind w:left="0"/>
      </w:pPr>
      <w:r>
        <w:t>Prezentul ghid a fost elaborat de Autoritatea de Management pentru Tranziție Justă (AM PTJ) pentru solicitanții care doresc să obțină finanțare nerambursabilă pentru proiectele de investiții în cadrul acțiunii ”</w:t>
      </w:r>
      <w:r w:rsidR="00926EEA" w:rsidRPr="00926EEA">
        <w:t xml:space="preserve"> </w:t>
      </w:r>
      <w:r w:rsidR="004F1B1C" w:rsidRPr="004F1B1C">
        <w:t>sprijin acordat autorităților publice locale pentru dezvoltarea de mici capacități de producție de energie din surse regenerabile pentru autoconsum, în vederea creării comunităților de energie</w:t>
      </w:r>
      <w:r>
        <w:t>.”</w:t>
      </w:r>
    </w:p>
    <w:p w14:paraId="253A326D" w14:textId="77777777" w:rsidR="00A657B7" w:rsidRDefault="00A657B7">
      <w:pPr>
        <w:spacing w:before="0" w:after="0"/>
        <w:ind w:left="0"/>
        <w:rPr>
          <w:color w:val="FF0000"/>
          <w:shd w:val="clear" w:color="auto" w:fill="6FA8DC"/>
        </w:rPr>
      </w:pPr>
    </w:p>
    <w:p w14:paraId="44AD359F" w14:textId="77777777" w:rsidR="00A657B7" w:rsidRDefault="00245051">
      <w:pPr>
        <w:spacing w:before="0" w:after="0"/>
        <w:ind w:left="0"/>
      </w:pPr>
      <w:r>
        <w:t>În situația în care pe parcursul sesiunii de proiecte intervin modificări de natură a afecta regulile şi condițiile de finanțare stabilite prin prezentul ghid, inclusiv prelungirea termenului de depunere, AM PTJ  va aduce completări și/sau modificări ale conținutului acestuia, prin publicarea unei versiuni revizuite.</w:t>
      </w:r>
    </w:p>
    <w:p w14:paraId="43EEED2D" w14:textId="77777777" w:rsidR="00A657B7" w:rsidRDefault="00A657B7">
      <w:pPr>
        <w:spacing w:before="0" w:after="0"/>
        <w:ind w:left="0"/>
      </w:pPr>
    </w:p>
    <w:p w14:paraId="400DBE13" w14:textId="77777777" w:rsidR="00A657B7" w:rsidRDefault="00245051">
      <w:pPr>
        <w:spacing w:before="0" w:after="0"/>
        <w:ind w:left="0"/>
      </w:pPr>
      <w:bookmarkStart w:id="8" w:name="_heading=h.v2wente2dhr"/>
      <w:bookmarkEnd w:id="8"/>
      <w:r>
        <w:t>În cazul modificării legislației menționate în prezentul ghid sau cu incidență asupra acestuia, prevederile actelor normative vor prevala, fără a fi necesară modificarea ghidului solicitantului.</w:t>
      </w:r>
    </w:p>
    <w:p w14:paraId="6A41B9DD" w14:textId="77777777" w:rsidR="00A657B7" w:rsidRDefault="00A657B7">
      <w:pPr>
        <w:spacing w:before="0" w:after="0"/>
        <w:ind w:left="0"/>
      </w:pPr>
    </w:p>
    <w:p w14:paraId="768440C1" w14:textId="77777777" w:rsidR="00A657B7" w:rsidRDefault="00245051">
      <w:pPr>
        <w:spacing w:before="0" w:after="0"/>
        <w:ind w:left="0"/>
      </w:pPr>
      <w:bookmarkStart w:id="9" w:name="_heading=h.j2syqipjd3n7"/>
      <w:bookmarkEnd w:id="9"/>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w:t>
      </w:r>
      <w:r>
        <w:t>anțare asupra neconformării cererii de finanțare și anexelor cu prevederile ghidului solicitantului, legislației în vigoare și/sau situației specifice fiecărui aplicant/proiect.</w:t>
      </w:r>
    </w:p>
    <w:p w14:paraId="4AB5146A" w14:textId="77777777" w:rsidR="00A657B7" w:rsidRDefault="00A657B7">
      <w:pPr>
        <w:spacing w:before="0" w:after="0"/>
        <w:ind w:left="0"/>
        <w:rPr>
          <w:color w:val="FF0000"/>
        </w:rPr>
      </w:pPr>
    </w:p>
    <w:p w14:paraId="1FDCFA5B" w14:textId="77777777" w:rsidR="00A657B7" w:rsidRDefault="00245051">
      <w:pPr>
        <w:spacing w:before="0" w:after="0"/>
        <w:ind w:left="0"/>
      </w:pPr>
      <w:r>
        <w:t>Vă recomandăm ca, înainte de a începe completarea cererii de finanțare, să vă asigurați că ați parcurs toate informațiile prezentate în acest ghid, inclusiv în anexe şi să vă asigurați că ați înțeles toate aspectele legate de accesarea finanțării.</w:t>
      </w:r>
    </w:p>
    <w:p w14:paraId="7B7D3259" w14:textId="77777777" w:rsidR="00A657B7" w:rsidRDefault="00A657B7">
      <w:pPr>
        <w:spacing w:before="0" w:after="0"/>
        <w:ind w:left="0"/>
      </w:pPr>
    </w:p>
    <w:p w14:paraId="0D017081" w14:textId="77777777" w:rsidR="00A657B7" w:rsidRDefault="00245051">
      <w:pPr>
        <w:spacing w:before="0" w:after="0"/>
        <w:ind w:left="0"/>
      </w:pPr>
      <w:r>
        <w:t>Vă recomandăm ca, până la data limită de depunere a cererilor de finanțare în cadrul prezentului apel de proiecte, să consultați periodic pagina de internet a MIPE, pentru a urmări eventualele modificări ale condițiilor de finanțare, precum și alte comunicări/ clarificări pentru accesarea fondurilor în cadrul apelurilor de proiecte asociate prezentului ghid.</w:t>
      </w:r>
    </w:p>
    <w:p w14:paraId="0B45B532" w14:textId="77777777" w:rsidR="00A657B7" w:rsidRDefault="00A657B7">
      <w:pPr>
        <w:spacing w:before="0" w:after="0"/>
        <w:ind w:left="0"/>
      </w:pPr>
    </w:p>
    <w:p w14:paraId="0C44F8B6" w14:textId="77777777" w:rsidR="00A657B7" w:rsidRDefault="00245051">
      <w:pPr>
        <w:spacing w:before="0" w:after="0"/>
        <w:ind w:left="0"/>
      </w:pPr>
      <w:r>
        <w:t>Modificările legislative relevante, intervenite pe parcursul procesului de consultare publică până la aprobarea prezentului ghid și/sau corelări cu alte prevederile legale existente vor conduce la actualizarea prevederilor prezentului document.</w:t>
      </w:r>
    </w:p>
    <w:p w14:paraId="4D0624C6" w14:textId="77777777" w:rsidR="00A657B7" w:rsidRDefault="00A657B7"/>
    <w:p w14:paraId="7FBDA4C8" w14:textId="77777777" w:rsidR="00A657B7" w:rsidRDefault="00245051">
      <w:pPr>
        <w:pStyle w:val="Heading2"/>
        <w:numPr>
          <w:ilvl w:val="1"/>
          <w:numId w:val="3"/>
        </w:numPr>
      </w:pPr>
      <w:bookmarkStart w:id="10" w:name="_Toc143499286"/>
      <w:bookmarkStart w:id="11" w:name="_Toc213405525"/>
      <w:r>
        <w:t>Abrevieri</w:t>
      </w:r>
      <w:bookmarkEnd w:id="10"/>
      <w:bookmarkEnd w:id="11"/>
    </w:p>
    <w:p w14:paraId="2967793B" w14:textId="77777777" w:rsidR="00A657B7" w:rsidRDefault="00245051">
      <w:pPr>
        <w:spacing w:before="0" w:after="0"/>
      </w:pPr>
      <w:r>
        <w:t xml:space="preserve">AA - </w:t>
      </w:r>
      <w:sdt>
        <w:sdtPr>
          <w:tag w:val="goog_rdk_6"/>
          <w:id w:val="-637253705"/>
        </w:sdtPr>
        <w:sdtEndPr/>
        <w:sdtContent>
          <w:r>
            <w:t>Autoritatea</w:t>
          </w:r>
        </w:sdtContent>
      </w:sdt>
      <w:sdt>
        <w:sdtPr>
          <w:tag w:val="goog_rdk_7"/>
          <w:id w:val="-2013364518"/>
        </w:sdtPr>
        <w:sdtEndPr/>
        <w:sdtContent>
          <w:r>
            <w:t xml:space="preserve">     </w:t>
          </w:r>
        </w:sdtContent>
      </w:sdt>
      <w:r>
        <w:t xml:space="preserve"> de Audit</w:t>
      </w:r>
    </w:p>
    <w:p w14:paraId="01A2878E" w14:textId="77777777" w:rsidR="00A657B7" w:rsidRDefault="00245051">
      <w:pPr>
        <w:spacing w:before="0" w:after="0"/>
      </w:pPr>
      <w:r>
        <w:t>AM PTJ - Autoritatea de Management pentru Programul Tranziție Justă</w:t>
      </w:r>
    </w:p>
    <w:p w14:paraId="53371220" w14:textId="77777777" w:rsidR="00A657B7" w:rsidRDefault="00245051">
      <w:pPr>
        <w:spacing w:before="0" w:after="0"/>
      </w:pPr>
      <w:r>
        <w:t>BS - Bugetul de Stat</w:t>
      </w:r>
    </w:p>
    <w:p w14:paraId="02BF30AB" w14:textId="77777777" w:rsidR="00A657B7" w:rsidRDefault="00245051">
      <w:pPr>
        <w:spacing w:before="0" w:after="0"/>
      </w:pPr>
      <w:r>
        <w:t>CE - Comisia Europeană</w:t>
      </w:r>
    </w:p>
    <w:p w14:paraId="7BBAC34B" w14:textId="77777777" w:rsidR="00A657B7" w:rsidRDefault="00245051">
      <w:pPr>
        <w:spacing w:before="0" w:after="0"/>
      </w:pPr>
      <w:r>
        <w:t>CF - Cerere de finanțare</w:t>
      </w:r>
    </w:p>
    <w:p w14:paraId="46E316C6" w14:textId="77777777" w:rsidR="00A657B7" w:rsidRDefault="00245051">
      <w:pPr>
        <w:spacing w:before="0" w:after="0"/>
      </w:pPr>
      <w:r>
        <w:t>CMPTJ - Comitetul de Monitorizare al Programului Tranziție Justă</w:t>
      </w:r>
    </w:p>
    <w:p w14:paraId="10ED8485" w14:textId="77777777" w:rsidR="00A657B7" w:rsidRDefault="00245051">
      <w:pPr>
        <w:spacing w:before="0" w:after="0"/>
      </w:pPr>
      <w:r>
        <w:t>DNSH - Principiul „a nu prejudicia în mod semnificativ” (Do No Significant Harm) obiectivele de mediu</w:t>
      </w:r>
      <w:sdt>
        <w:sdtPr>
          <w:tag w:val="goog_rdk_8"/>
          <w:id w:val="-1021396605"/>
        </w:sdtPr>
        <w:sdtEndPr/>
        <w:sdtContent>
          <w:r>
            <w:t>Your text here</w:t>
          </w:r>
        </w:sdtContent>
      </w:sdt>
    </w:p>
    <w:p w14:paraId="0301ACF3" w14:textId="77777777" w:rsidR="00A657B7" w:rsidRDefault="00245051">
      <w:pPr>
        <w:spacing w:before="0" w:after="0"/>
      </w:pPr>
      <w:r>
        <w:t>EMAS - Sistemul European de Management de Mediu și Audit</w:t>
      </w:r>
    </w:p>
    <w:p w14:paraId="72549674" w14:textId="77777777" w:rsidR="00A657B7" w:rsidRDefault="00245051">
      <w:pPr>
        <w:spacing w:before="0" w:after="0"/>
      </w:pPr>
      <w:r>
        <w:t>ETF - Evaluare tehnică și financiară</w:t>
      </w:r>
    </w:p>
    <w:p w14:paraId="321CD87B" w14:textId="77777777" w:rsidR="00A657B7" w:rsidRDefault="00245051">
      <w:pPr>
        <w:spacing w:before="0" w:after="0"/>
        <w:rPr>
          <w:color w:val="FF0000"/>
        </w:rPr>
      </w:pPr>
      <w:r>
        <w:t xml:space="preserve">FTJ - Fondul pentru o tranziție justă </w:t>
      </w:r>
    </w:p>
    <w:p w14:paraId="17A9A64D" w14:textId="77777777" w:rsidR="00A657B7" w:rsidRDefault="00245051">
      <w:pPr>
        <w:spacing w:before="0" w:after="0"/>
      </w:pPr>
      <w:r>
        <w:rPr>
          <w:shd w:val="clear" w:color="auto" w:fill="FFFFFF"/>
        </w:rPr>
        <w:t>HG -Hotărâre de Guvern</w:t>
      </w:r>
    </w:p>
    <w:p w14:paraId="625D939D" w14:textId="77777777" w:rsidR="00A657B7" w:rsidRDefault="00245051">
      <w:pPr>
        <w:spacing w:before="0" w:after="0"/>
      </w:pPr>
      <w:r>
        <w:t>MIPE - Ministerul Investițiilor și Proiectelor Europene</w:t>
      </w:r>
    </w:p>
    <w:p w14:paraId="3AF4DE5A" w14:textId="77777777" w:rsidR="00A657B7" w:rsidRDefault="00245051">
      <w:pPr>
        <w:spacing w:before="0" w:after="0"/>
      </w:pPr>
      <w:r>
        <w:lastRenderedPageBreak/>
        <w:t xml:space="preserve">MySMIS -Sistem unic de management a informației </w:t>
      </w:r>
    </w:p>
    <w:p w14:paraId="5F03073F" w14:textId="77777777" w:rsidR="00A657B7" w:rsidRDefault="00245051">
      <w:pPr>
        <w:spacing w:before="0" w:after="0"/>
      </w:pPr>
      <w:r>
        <w:t>NUTS-  Nomenclatorul Unităților Statistice Teritoriale</w:t>
      </w:r>
    </w:p>
    <w:p w14:paraId="1239F2F3" w14:textId="77777777" w:rsidR="00A657B7" w:rsidRDefault="00245051">
      <w:pPr>
        <w:spacing w:before="0" w:after="0"/>
      </w:pPr>
      <w:r>
        <w:t xml:space="preserve">OCPI -Oficiu de cadastru şi publicitate imobiliară </w:t>
      </w:r>
    </w:p>
    <w:p w14:paraId="542A1FCE" w14:textId="77777777" w:rsidR="00A657B7" w:rsidRDefault="00245051">
      <w:pPr>
        <w:spacing w:before="0" w:after="0"/>
      </w:pPr>
      <w:r>
        <w:t>OUG - Ordonanță de urgență a Guvernului</w:t>
      </w:r>
    </w:p>
    <w:p w14:paraId="6F12FF45" w14:textId="77777777" w:rsidR="00A657B7" w:rsidRDefault="00245051">
      <w:pPr>
        <w:spacing w:before="0" w:after="0"/>
      </w:pPr>
      <w:r>
        <w:t>OP - Obiectiv de Politică</w:t>
      </w:r>
    </w:p>
    <w:p w14:paraId="46D7E750" w14:textId="77777777" w:rsidR="00A657B7" w:rsidRDefault="00245051">
      <w:pPr>
        <w:spacing w:before="0" w:after="0"/>
      </w:pPr>
      <w:r>
        <w:t>PNIESC - Planul Național Integrat în domeniul Energiei și Schimbărilor Climatice</w:t>
      </w:r>
    </w:p>
    <w:p w14:paraId="63D1BB9B" w14:textId="77777777" w:rsidR="00A657B7" w:rsidRDefault="00245051">
      <w:pPr>
        <w:spacing w:before="0" w:after="0"/>
      </w:pPr>
      <w:bookmarkStart w:id="12" w:name="_heading=h.tyjcwt"/>
      <w:bookmarkEnd w:id="12"/>
      <w:r>
        <w:t>PTJ - Programul Tranziție Justă</w:t>
      </w:r>
    </w:p>
    <w:p w14:paraId="00171775" w14:textId="77777777" w:rsidR="00A657B7" w:rsidRDefault="00245051">
      <w:pPr>
        <w:spacing w:before="0" w:after="0"/>
      </w:pPr>
      <w:r>
        <w:t>PTTJ - Planuri teritoriale pentru o Tranziție Justă</w:t>
      </w:r>
    </w:p>
    <w:p w14:paraId="10EB976F" w14:textId="77777777" w:rsidR="00A657B7" w:rsidRDefault="00245051">
      <w:pPr>
        <w:spacing w:before="0" w:after="0"/>
      </w:pPr>
      <w:r>
        <w:t>RDC</w:t>
      </w:r>
      <w:r>
        <w:rPr>
          <w:b/>
        </w:rPr>
        <w:t xml:space="preserve"> </w:t>
      </w:r>
      <w:r>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1D2C15" w14:textId="77777777" w:rsidR="00A657B7" w:rsidRDefault="00245051">
      <w:pPr>
        <w:spacing w:before="0" w:after="0"/>
      </w:pPr>
      <w:r>
        <w:t>RP – Raport de progres</w:t>
      </w:r>
    </w:p>
    <w:p w14:paraId="2F30EFF3" w14:textId="77777777" w:rsidR="00A657B7" w:rsidRDefault="00245051">
      <w:pPr>
        <w:spacing w:before="0" w:after="0"/>
      </w:pPr>
      <w:r>
        <w:t>TFUE - Tratatul privind funcționarea Uniunii Europene</w:t>
      </w:r>
    </w:p>
    <w:p w14:paraId="03720822" w14:textId="77777777" w:rsidR="00A657B7" w:rsidRDefault="00245051">
      <w:pPr>
        <w:spacing w:before="0" w:after="0"/>
      </w:pPr>
      <w:r>
        <w:t>UE - Uniunea Europeană</w:t>
      </w:r>
    </w:p>
    <w:p w14:paraId="48AEC56F" w14:textId="77777777" w:rsidR="00A657B7" w:rsidRDefault="00A657B7">
      <w:pPr>
        <w:spacing w:before="0" w:after="0"/>
      </w:pPr>
    </w:p>
    <w:p w14:paraId="73D91F4B" w14:textId="77777777" w:rsidR="00A657B7" w:rsidRDefault="00245051">
      <w:pPr>
        <w:pStyle w:val="Heading2"/>
        <w:numPr>
          <w:ilvl w:val="1"/>
          <w:numId w:val="3"/>
        </w:numPr>
      </w:pPr>
      <w:bookmarkStart w:id="13" w:name="_Toc143499287"/>
      <w:bookmarkStart w:id="14" w:name="_Toc213405526"/>
      <w:r>
        <w:t>Glosar</w:t>
      </w:r>
      <w:bookmarkEnd w:id="13"/>
      <w:bookmarkEnd w:id="14"/>
    </w:p>
    <w:p w14:paraId="40F75722" w14:textId="77777777" w:rsidR="00926EEA" w:rsidRDefault="00926EEA" w:rsidP="00926EEA"/>
    <w:p w14:paraId="03C9B18F" w14:textId="77777777" w:rsidR="00926EEA" w:rsidRPr="00926EEA" w:rsidRDefault="00926EEA">
      <w:pPr>
        <w:widowControl w:val="0"/>
        <w:numPr>
          <w:ilvl w:val="0"/>
          <w:numId w:val="33"/>
        </w:numPr>
        <w:pBdr>
          <w:top w:val="none" w:sz="0" w:space="0" w:color="auto"/>
          <w:left w:val="none" w:sz="0" w:space="0" w:color="auto"/>
          <w:bottom w:val="none" w:sz="0" w:space="0" w:color="auto"/>
          <w:right w:val="none" w:sz="0" w:space="0" w:color="auto"/>
          <w:between w:val="none" w:sz="0" w:space="0" w:color="auto"/>
        </w:pBdr>
        <w:spacing w:before="0" w:after="0"/>
        <w:contextualSpacing/>
      </w:pPr>
      <w:r w:rsidRPr="00926EEA">
        <w:rPr>
          <w:b/>
          <w:bCs/>
        </w:rPr>
        <w:t xml:space="preserve">Activitate de bază conform dispozițiilor OUG nr. 23/2023 - </w:t>
      </w:r>
      <w:r w:rsidRPr="00926EEA">
        <w:t>Activitate sau pachet de activităţi declarate de către beneficiar ca fiind principale sau de referinţă pentru un proiect, care se verifică de către autoritatea de management, în etapa de contractare, la momentul întocmirii planului de monitorizare a proiectului şi care trebuie să respecte următoarele condiţii cumulative:</w:t>
      </w:r>
    </w:p>
    <w:p w14:paraId="6BAD5C24"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 are legătură directă cu obiectul proiectului pentru care se acordă finanțarea şi contribuie în mod direct şi semnificativ la realizarea obiectivelor şi la obţinerea rezultatelor acestuia;</w:t>
      </w:r>
    </w:p>
    <w:p w14:paraId="74B4BCD2"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(ii) se regăsește în cererea de finanţare sub forma activităţilor eligibile obligatorii specificate în Ghidul solicitantului;</w:t>
      </w:r>
    </w:p>
    <w:p w14:paraId="54BCCC48"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(iii) nu face parte din activităţile conexe, aşa cum sunt acestea definite în Ghidul solicitantului;</w:t>
      </w:r>
    </w:p>
    <w:p w14:paraId="69F5DA11" w14:textId="717A6E1E" w:rsid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r w:rsidRPr="00926EEA">
        <w:t>(iv) bugetul estimat alocat activităţii sau pachetului de activităţi reprezintă minimum 50% din bugetul eligibil al proiectului</w:t>
      </w:r>
      <w:r>
        <w:t>;</w:t>
      </w:r>
    </w:p>
    <w:p w14:paraId="05F04D5C" w14:textId="77777777" w:rsidR="00926EEA" w:rsidRPr="00926EEA" w:rsidRDefault="00926EEA" w:rsidP="00926EEA">
      <w:pPr>
        <w:widowControl w:val="0"/>
        <w:pBdr>
          <w:top w:val="none" w:sz="0" w:space="0" w:color="auto"/>
          <w:left w:val="none" w:sz="0" w:space="0" w:color="auto"/>
          <w:bottom w:val="none" w:sz="0" w:space="0" w:color="auto"/>
          <w:right w:val="none" w:sz="0" w:space="0" w:color="auto"/>
          <w:between w:val="none" w:sz="0" w:space="0" w:color="auto"/>
        </w:pBdr>
        <w:spacing w:before="0" w:after="0"/>
        <w:ind w:left="1440"/>
        <w:contextualSpacing/>
      </w:pPr>
    </w:p>
    <w:p w14:paraId="14592D22" w14:textId="152BC4C6" w:rsidR="00926EEA" w:rsidRDefault="00926EEA">
      <w:pPr>
        <w:pStyle w:val="ListParagraph"/>
        <w:widowControl w:val="0"/>
        <w:numPr>
          <w:ilvl w:val="0"/>
          <w:numId w:val="25"/>
        </w:numPr>
        <w:spacing w:before="0" w:after="0"/>
        <w:rPr>
          <w:bCs/>
        </w:rPr>
      </w:pPr>
      <w:r w:rsidRPr="00926EEA">
        <w:rPr>
          <w:b/>
        </w:rPr>
        <w:t>Caracterul durabil al operațiunilor</w:t>
      </w:r>
      <w:r w:rsidRPr="00926EEA">
        <w:rPr>
          <w:bCs/>
        </w:rPr>
        <w:t xml:space="preserve"> </w:t>
      </w:r>
      <w:bookmarkStart w:id="15" w:name="_Hlk142388316"/>
      <w:r w:rsidRPr="00926EEA">
        <w:rPr>
          <w:bCs/>
        </w:rPr>
        <w:t>- pentru o operaţiune constând în investiţii în infrastructură, în cazul în care, în termen de cinci ani de la efectuarea plăţii finale către beneficiar, nu se constată modificarea proprietăţii asupra unui element de infrastructură care conferă un avantaj nejustificat întreprinderii sau organismului public beneficiare sau, după caz, modificarea substanţială care afectează natura, obiectivele sau condiţiile de implementare a operaţiunii și care ar conduce la subminarea obiectivelor iniţiale ale acesteia;</w:t>
      </w:r>
    </w:p>
    <w:p w14:paraId="6B193C95" w14:textId="77777777" w:rsidR="00926EEA" w:rsidRPr="00926EEA" w:rsidRDefault="00926EEA" w:rsidP="00926EEA">
      <w:pPr>
        <w:pStyle w:val="ListParagraph"/>
        <w:widowControl w:val="0"/>
        <w:spacing w:before="0" w:after="0"/>
        <w:rPr>
          <w:bCs/>
        </w:rPr>
      </w:pPr>
    </w:p>
    <w:bookmarkEnd w:id="15"/>
    <w:p w14:paraId="1EEB19E2" w14:textId="5D9E29CE" w:rsidR="00926EEA" w:rsidRPr="00926EEA" w:rsidRDefault="00926EEA">
      <w:pPr>
        <w:pStyle w:val="ListParagraph"/>
        <w:widowControl w:val="0"/>
        <w:numPr>
          <w:ilvl w:val="0"/>
          <w:numId w:val="25"/>
        </w:numPr>
        <w:pBdr>
          <w:top w:val="nil"/>
          <w:left w:val="nil"/>
          <w:bottom w:val="nil"/>
          <w:right w:val="nil"/>
          <w:between w:val="nil"/>
        </w:pBdr>
        <w:spacing w:after="0"/>
      </w:pPr>
      <w:r w:rsidRPr="00926EEA">
        <w:rPr>
          <w:b/>
          <w:bCs/>
        </w:rPr>
        <w:t>agent termic</w:t>
      </w:r>
      <w:r w:rsidRPr="00035F4C">
        <w:t xml:space="preserve"> - fluidul utilizat pentru acumularea, transferul termic și pentru transmiterea energiei termice;</w:t>
      </w:r>
    </w:p>
    <w:p w14:paraId="6B9276A1" w14:textId="3F7BC6EE" w:rsidR="00A657B7" w:rsidRDefault="00245051">
      <w:pPr>
        <w:pStyle w:val="ListParagraph"/>
        <w:widowControl w:val="0"/>
        <w:numPr>
          <w:ilvl w:val="0"/>
          <w:numId w:val="25"/>
        </w:numPr>
        <w:spacing w:before="0" w:after="0"/>
      </w:pPr>
      <w:bookmarkStart w:id="16" w:name="_Hlk142137329"/>
      <w:bookmarkEnd w:id="16"/>
      <w:r>
        <w:rPr>
          <w:b/>
        </w:rPr>
        <w:t xml:space="preserve">Cererea de finanțare - </w:t>
      </w:r>
      <w:r>
        <w:t>conform dispozițiilor OUG nr. 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w:t>
      </w:r>
      <w:r>
        <w:t>antului aplicabil fiecărui apel de proiecte.</w:t>
      </w:r>
    </w:p>
    <w:p w14:paraId="6CDDFE63" w14:textId="77777777" w:rsidR="00A657B7" w:rsidRDefault="00A657B7">
      <w:pPr>
        <w:widowControl w:val="0"/>
        <w:spacing w:before="0" w:after="0"/>
      </w:pPr>
    </w:p>
    <w:p w14:paraId="1B751E91" w14:textId="77777777" w:rsidR="00A657B7" w:rsidRDefault="00245051">
      <w:pPr>
        <w:pStyle w:val="ListParagraph"/>
        <w:widowControl w:val="0"/>
        <w:numPr>
          <w:ilvl w:val="0"/>
          <w:numId w:val="25"/>
        </w:numPr>
        <w:spacing w:before="0" w:after="0"/>
      </w:pPr>
      <w:r>
        <w:rPr>
          <w:b/>
          <w:bCs/>
        </w:rPr>
        <w:t>Cofinanțare publică</w:t>
      </w:r>
      <w:r>
        <w:t xml:space="preserve"> - orice contribuție din fonduri publice naționale destinată finanțării cheltuielilor eligibile necesare implementării proiectului în conformitate cu prevederile OUG nr. 133/2021.</w:t>
      </w:r>
    </w:p>
    <w:p w14:paraId="77226B3A" w14:textId="77777777" w:rsidR="00A657B7" w:rsidRDefault="00245051">
      <w:pPr>
        <w:widowControl w:val="0"/>
        <w:spacing w:before="0" w:after="0"/>
      </w:pPr>
      <w:r>
        <w:lastRenderedPageBreak/>
        <w:t xml:space="preserve"> </w:t>
      </w:r>
    </w:p>
    <w:p w14:paraId="7E788601" w14:textId="77777777" w:rsidR="00A657B7" w:rsidRDefault="00245051">
      <w:pPr>
        <w:pStyle w:val="ListParagraph"/>
        <w:widowControl w:val="0"/>
        <w:numPr>
          <w:ilvl w:val="0"/>
          <w:numId w:val="25"/>
        </w:numPr>
        <w:spacing w:before="0" w:after="0"/>
      </w:pPr>
      <w:r>
        <w:rPr>
          <w:b/>
          <w:bCs/>
        </w:rPr>
        <w:t>Cheltuieli eligibile</w:t>
      </w:r>
      <w:r>
        <w:t xml:space="preserve"> – conform dispozițiilor OUG nr. 133/2021 reprezintă cheltuielile efectuate de beneficiar pentru implementarea proiectelor finanțate în cadrul programelor operaționale, conform prevederilor art. 63 alin. (1) din Regulamentul (UE) 2021/1.060.</w:t>
      </w:r>
    </w:p>
    <w:p w14:paraId="70B9D0F7" w14:textId="77777777" w:rsidR="00A657B7" w:rsidRDefault="00A657B7">
      <w:pPr>
        <w:widowControl w:val="0"/>
        <w:spacing w:before="0" w:after="0"/>
        <w:ind w:left="0"/>
      </w:pPr>
    </w:p>
    <w:p w14:paraId="239296A2" w14:textId="77777777" w:rsidR="00A657B7" w:rsidRDefault="00245051">
      <w:pPr>
        <w:pStyle w:val="ListParagraph"/>
        <w:widowControl w:val="0"/>
        <w:numPr>
          <w:ilvl w:val="0"/>
          <w:numId w:val="25"/>
        </w:numPr>
        <w:spacing w:before="0" w:after="0"/>
        <w:rPr>
          <w:bCs/>
        </w:rPr>
      </w:pPr>
      <w:r>
        <w:rPr>
          <w:b/>
        </w:rPr>
        <w:t xml:space="preserve">Declarația unică a solicitantului— </w:t>
      </w:r>
      <w:r>
        <w:rPr>
          <w:bCs/>
        </w:rPr>
        <w:t>conform dispozițiilor OUG nr. 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w:t>
      </w:r>
      <w:r>
        <w:rPr>
          <w:bCs/>
        </w:rPr>
        <w:t>or de eligibilitate, sub sancțiunea respingerii finanțării.</w:t>
      </w:r>
    </w:p>
    <w:p w14:paraId="12F766BB" w14:textId="77777777" w:rsidR="00557014" w:rsidRPr="00557014" w:rsidRDefault="00557014" w:rsidP="00557014">
      <w:pPr>
        <w:pStyle w:val="ListParagraph"/>
        <w:rPr>
          <w:bCs/>
        </w:rPr>
      </w:pPr>
    </w:p>
    <w:p w14:paraId="1EF40884" w14:textId="02415CD3" w:rsidR="00557014" w:rsidRDefault="00557014">
      <w:pPr>
        <w:pStyle w:val="ListParagraph"/>
        <w:widowControl w:val="0"/>
        <w:numPr>
          <w:ilvl w:val="0"/>
          <w:numId w:val="25"/>
        </w:numPr>
        <w:spacing w:before="0" w:after="0"/>
        <w:rPr>
          <w:bCs/>
        </w:rPr>
      </w:pPr>
      <w:r w:rsidRPr="00557014">
        <w:rPr>
          <w:b/>
        </w:rPr>
        <w:t>drept real</w:t>
      </w:r>
      <w:r w:rsidRPr="00557014">
        <w:rPr>
          <w:bCs/>
        </w:rPr>
        <w:t xml:space="preserve"> - drept de proprietate, concesiune, folosință gratuită și/ sau administrare  exercitat de UAT, conform definiției din art. 5, lit. pp) din OUG nr. 57/ 2019 privind Codul administrativ și drepturilor stabilite în Capitolul II din Codul Civil aprobat prin Legea nr. 287/2009.</w:t>
      </w:r>
    </w:p>
    <w:p w14:paraId="29D8B0BA" w14:textId="77777777" w:rsidR="00926EEA" w:rsidRPr="00926EEA" w:rsidRDefault="00926EEA" w:rsidP="00926EEA">
      <w:pPr>
        <w:pStyle w:val="ListParagraph"/>
        <w:rPr>
          <w:bCs/>
        </w:rPr>
      </w:pPr>
    </w:p>
    <w:p w14:paraId="185FAF67" w14:textId="5A33B44B" w:rsidR="00926EEA" w:rsidRDefault="00926EEA">
      <w:pPr>
        <w:pStyle w:val="ListParagraph"/>
        <w:widowControl w:val="0"/>
        <w:numPr>
          <w:ilvl w:val="0"/>
          <w:numId w:val="25"/>
        </w:numPr>
        <w:spacing w:before="0" w:after="0"/>
        <w:rPr>
          <w:bCs/>
        </w:rPr>
      </w:pPr>
      <w:r w:rsidRPr="00926EEA">
        <w:rPr>
          <w:b/>
        </w:rPr>
        <w:t>energie din surse regenerabile sau energie regenerabilă</w:t>
      </w:r>
      <w:r w:rsidRPr="00926EEA">
        <w:rPr>
          <w:bCs/>
        </w:rPr>
        <w:t xml:space="preserve"> - energia din surse regenerabile nefosile, respectiv energie eoliană, energie solară (solară termică și solară fotovoltaică) și geotermală, energie ambientală, energia mareelor, a valurilor și alte tipuri de energie a oceanelor, energie hidroelectrică, energia din biomasă ca materie primă pentru combustibili solizi, combustibili lichizi, singaz obținut în instalații de piroliză și gazeificare, gaz de fermentare a deșeurilor, gaz de fermentare a nămolurilor din instalațiile de epurare a apelor uzate și biogaz  (în sensul prezentului apel de proiecte, prin energie din surse regenerabile se înțelege energia din apa geotermală);</w:t>
      </w:r>
    </w:p>
    <w:p w14:paraId="4DAA1249" w14:textId="77777777" w:rsidR="00926EEA" w:rsidRPr="00926EEA" w:rsidRDefault="00926EEA" w:rsidP="00926EEA">
      <w:pPr>
        <w:pStyle w:val="ListParagraph"/>
        <w:rPr>
          <w:bCs/>
        </w:rPr>
      </w:pPr>
    </w:p>
    <w:p w14:paraId="39E7CDDB" w14:textId="77777777" w:rsidR="00926EEA" w:rsidRPr="00926EEA" w:rsidRDefault="00926EEA">
      <w:pPr>
        <w:pStyle w:val="ListParagraph"/>
        <w:widowControl w:val="0"/>
        <w:numPr>
          <w:ilvl w:val="0"/>
          <w:numId w:val="25"/>
        </w:numPr>
        <w:spacing w:before="0" w:after="0"/>
        <w:rPr>
          <w:bCs/>
        </w:rPr>
      </w:pPr>
      <w:r w:rsidRPr="00926EEA">
        <w:rPr>
          <w:b/>
        </w:rPr>
        <w:t>exploatare</w:t>
      </w:r>
      <w:r w:rsidRPr="00926EEA">
        <w:rPr>
          <w:bCs/>
        </w:rPr>
        <w:t xml:space="preserve"> - ansamblul de lucrări executate în subteran și/sau la suprafața pentru extragerea resurselor minerale, prelucrarea și livrarea acestora în forme specifice;</w:t>
      </w:r>
    </w:p>
    <w:p w14:paraId="0CD1126B" w14:textId="77777777" w:rsidR="00926EEA" w:rsidRPr="00926EEA" w:rsidRDefault="00926EEA" w:rsidP="00926EEA">
      <w:pPr>
        <w:pStyle w:val="ListParagraph"/>
        <w:widowControl w:val="0"/>
        <w:spacing w:before="0" w:after="0"/>
        <w:rPr>
          <w:bCs/>
        </w:rPr>
      </w:pPr>
    </w:p>
    <w:p w14:paraId="75B22107" w14:textId="4BBC4DC4" w:rsidR="00926EEA" w:rsidRDefault="00926EEA">
      <w:pPr>
        <w:pStyle w:val="ListParagraph"/>
        <w:widowControl w:val="0"/>
        <w:numPr>
          <w:ilvl w:val="0"/>
          <w:numId w:val="25"/>
        </w:numPr>
        <w:spacing w:before="0" w:after="0"/>
        <w:rPr>
          <w:bCs/>
        </w:rPr>
      </w:pPr>
      <w:r w:rsidRPr="00926EEA">
        <w:rPr>
          <w:b/>
        </w:rPr>
        <w:t>explorare</w:t>
      </w:r>
      <w:r w:rsidRPr="00926EEA">
        <w:rPr>
          <w:bCs/>
        </w:rPr>
        <w:t xml:space="preserve"> - ansamblul de studii și activități pentru identificarea zăcămintelor, evaluarea cantitativă și calitativă a acestora, precum și determinarea condițiilor tehnice și economice de valorificare;</w:t>
      </w:r>
    </w:p>
    <w:p w14:paraId="49A984EA" w14:textId="77777777" w:rsidR="00A657B7" w:rsidRDefault="00A657B7">
      <w:pPr>
        <w:widowControl w:val="0"/>
        <w:spacing w:before="0" w:after="0"/>
        <w:ind w:left="0"/>
        <w:rPr>
          <w:bCs/>
        </w:rPr>
      </w:pPr>
    </w:p>
    <w:p w14:paraId="075CEA77" w14:textId="77777777" w:rsidR="00A657B7" w:rsidRDefault="00245051">
      <w:pPr>
        <w:pStyle w:val="ListParagraph"/>
        <w:widowControl w:val="0"/>
        <w:numPr>
          <w:ilvl w:val="0"/>
          <w:numId w:val="25"/>
        </w:numPr>
        <w:spacing w:before="0" w:after="0"/>
        <w:rPr>
          <w:bCs/>
        </w:rPr>
      </w:pPr>
      <w:r>
        <w:rPr>
          <w:b/>
        </w:rPr>
        <w:t>Ghidul solicitantului</w:t>
      </w:r>
      <w:r>
        <w:rPr>
          <w:bCs/>
        </w:rPr>
        <w:t xml:space="preserve"> - conform dispozițiilor OUG nr. 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129B8876" w14:textId="77777777" w:rsidR="00A657B7" w:rsidRDefault="00A657B7">
      <w:pPr>
        <w:widowControl w:val="0"/>
        <w:spacing w:before="0" w:after="0"/>
        <w:rPr>
          <w:bCs/>
        </w:rPr>
      </w:pPr>
    </w:p>
    <w:p w14:paraId="73CED74D" w14:textId="77777777" w:rsidR="00A657B7" w:rsidRDefault="00245051">
      <w:pPr>
        <w:pStyle w:val="ListParagraph"/>
        <w:widowControl w:val="0"/>
        <w:numPr>
          <w:ilvl w:val="0"/>
          <w:numId w:val="25"/>
        </w:numPr>
        <w:spacing w:before="0" w:after="0"/>
      </w:pPr>
      <w:r>
        <w:rPr>
          <w:b/>
          <w:bCs/>
        </w:rPr>
        <w:t>Indicatori de etapă</w:t>
      </w:r>
      <w:r>
        <w:t xml:space="preserve"> — </w:t>
      </w:r>
      <w:r>
        <w:rPr>
          <w:bCs/>
        </w:rPr>
        <w:t xml:space="preserve">conform dispozițiilor OUG nr. 23/2023 reprezintă </w:t>
      </w:r>
      <w: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126AD44" w14:textId="77777777" w:rsidR="00A657B7" w:rsidRDefault="00245051">
      <w:pPr>
        <w:ind w:left="0" w:firstLine="426"/>
      </w:pPr>
      <w:r>
        <w:t>•</w:t>
      </w:r>
      <w:r>
        <w:tab/>
      </w:r>
      <w:r>
        <w:rPr>
          <w:b/>
        </w:rPr>
        <w:t>Indicator de realizare</w:t>
      </w:r>
      <w:r>
        <w:t xml:space="preserve"> – conform prevederilor Regulamentului (UE) nr. 1060/2021, cu modificările și completările ulterioare, înseamnă un indicator de măsurare a rezultatelor specifice ale intervenției.</w:t>
      </w:r>
    </w:p>
    <w:p w14:paraId="23D1F321" w14:textId="77777777" w:rsidR="00A657B7" w:rsidRDefault="00A657B7">
      <w:pPr>
        <w:ind w:left="0"/>
      </w:pPr>
    </w:p>
    <w:p w14:paraId="48690245" w14:textId="77777777" w:rsidR="00A657B7" w:rsidRDefault="00245051">
      <w:pPr>
        <w:ind w:left="426"/>
      </w:pPr>
      <w:r>
        <w:t>•</w:t>
      </w:r>
      <w:r>
        <w:tab/>
      </w:r>
      <w:r>
        <w:rPr>
          <w:b/>
        </w:rPr>
        <w:t>Indicator de rezultat</w:t>
      </w:r>
      <w:r>
        <w:t xml:space="preserve"> - conform prevederilor Regulamentului (UE) nr. 1060/2021, cu modificările și completările ulterioare, înseamnă un indicator de măsurare a efectelor intervențiilor sprijinite, în special în ceea ce privește destinatarii direcți, populația vizată sau utilizatorii infrastructurii.</w:t>
      </w:r>
    </w:p>
    <w:p w14:paraId="144FAA48" w14:textId="77777777" w:rsidR="00557014" w:rsidRDefault="00557014">
      <w:pPr>
        <w:ind w:left="426"/>
      </w:pPr>
    </w:p>
    <w:p w14:paraId="11C39E1B" w14:textId="383C273A" w:rsidR="00557014" w:rsidRPr="00557014" w:rsidRDefault="00557014">
      <w:pPr>
        <w:pStyle w:val="ListParagraph"/>
        <w:numPr>
          <w:ilvl w:val="0"/>
          <w:numId w:val="33"/>
        </w:numPr>
        <w:rPr>
          <w:b/>
        </w:rPr>
      </w:pPr>
      <w:r w:rsidRPr="00557014">
        <w:rPr>
          <w:b/>
        </w:rPr>
        <w:t xml:space="preserve">instalator validat - </w:t>
      </w:r>
      <w:r w:rsidRPr="00557014">
        <w:rPr>
          <w:bCs/>
        </w:rPr>
        <w:t>operatorul care a încheiat contract de participare în vederea decontării;</w:t>
      </w:r>
    </w:p>
    <w:p w14:paraId="18953EFD" w14:textId="0B22AEC6" w:rsidR="00557014" w:rsidRDefault="00557014">
      <w:pPr>
        <w:pStyle w:val="ListParagraph"/>
        <w:numPr>
          <w:ilvl w:val="0"/>
          <w:numId w:val="33"/>
        </w:numPr>
      </w:pPr>
      <w:r w:rsidRPr="00557014">
        <w:rPr>
          <w:b/>
          <w:bCs/>
        </w:rPr>
        <w:t>invertor</w:t>
      </w:r>
      <w:r>
        <w:t xml:space="preserve"> – dispozitiv care permite transformarea curentului continuu produs de sistemul de panouri fotovoltaice în curent alternativ;</w:t>
      </w:r>
    </w:p>
    <w:p w14:paraId="309E26D5" w14:textId="454F9DE2" w:rsidR="00557014" w:rsidRDefault="00557014">
      <w:pPr>
        <w:pStyle w:val="ListParagraph"/>
        <w:numPr>
          <w:ilvl w:val="0"/>
          <w:numId w:val="33"/>
        </w:numPr>
      </w:pPr>
      <w:r w:rsidRPr="00557014">
        <w:rPr>
          <w:b/>
          <w:bCs/>
        </w:rPr>
        <w:lastRenderedPageBreak/>
        <w:t>invertor hibrid</w:t>
      </w:r>
      <w:r>
        <w:t xml:space="preserve"> – invertorul care permite gestionarea energiei electrice produse pentru consum propriu, pentru stocarea acesteia în baterii și pentru livrarea surprusului în sistemul energetic național;</w:t>
      </w:r>
    </w:p>
    <w:p w14:paraId="4523ACD9" w14:textId="4B0EBFA7" w:rsidR="00557014" w:rsidRDefault="00557014">
      <w:pPr>
        <w:pStyle w:val="ListParagraph"/>
        <w:numPr>
          <w:ilvl w:val="0"/>
          <w:numId w:val="33"/>
        </w:numPr>
      </w:pPr>
      <w:r>
        <w:rPr>
          <w:b/>
          <w:bCs/>
        </w:rPr>
        <w:t xml:space="preserve">kit de montaj </w:t>
      </w:r>
      <w:r w:rsidRPr="00557014">
        <w:t>-</w:t>
      </w:r>
      <w:r>
        <w:t xml:space="preserve"> s</w:t>
      </w:r>
      <w:r w:rsidRPr="00557014">
        <w:t>isteme de montaj pentru panouri fotovoltaice</w:t>
      </w:r>
      <w:r>
        <w:t xml:space="preserve">/ fototermice, pompe de căldură, </w:t>
      </w:r>
      <w:r w:rsidR="00BE5515" w:rsidRPr="00C0006D">
        <w:t>concepute pentru a îndeplini toate condițiile de siguranta si buna functionare a sistemelor fotovoltaice</w:t>
      </w:r>
    </w:p>
    <w:p w14:paraId="21B06FD9" w14:textId="6EDB1EB5" w:rsidR="00557014" w:rsidRDefault="00557014">
      <w:pPr>
        <w:pStyle w:val="ListParagraph"/>
        <w:numPr>
          <w:ilvl w:val="0"/>
          <w:numId w:val="33"/>
        </w:numPr>
      </w:pPr>
      <w:r w:rsidRPr="00557014">
        <w:rPr>
          <w:b/>
          <w:bCs/>
        </w:rPr>
        <w:t>panou (modul) solar fotovoltaic</w:t>
      </w:r>
      <w:r>
        <w:t xml:space="preserve"> - blocul constructiv de bază al unui sistem de panouri fotovoltaice, constituit dintr-un număr de celule solare fotovoltaice interconectate;</w:t>
      </w:r>
    </w:p>
    <w:p w14:paraId="7F88DD44" w14:textId="77777777" w:rsidR="00A657B7" w:rsidRDefault="00245051">
      <w:pPr>
        <w:numPr>
          <w:ilvl w:val="0"/>
          <w:numId w:val="26"/>
        </w:numPr>
      </w:pPr>
      <w:r>
        <w:rPr>
          <w:b/>
          <w:bCs/>
        </w:rPr>
        <w:t>Plan de monitorizare a proiectului</w:t>
      </w:r>
      <w:r>
        <w:t xml:space="preserve"> —</w:t>
      </w:r>
      <w:r>
        <w:rPr>
          <w:bCs/>
        </w:rPr>
        <w:t xml:space="preserve"> conform dispozițiilor OUG nr. 23/2023 reprezintă</w:t>
      </w:r>
      <w: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w:t>
      </w:r>
      <w:r>
        <w:t>idarea și eficientizarea procesului de monitorizare a proiectelor de către autoritățile de management/organismele intermediare, după caz.</w:t>
      </w:r>
    </w:p>
    <w:p w14:paraId="409D6F7E" w14:textId="77777777" w:rsidR="00A657B7" w:rsidRDefault="00A657B7">
      <w:pPr>
        <w:ind w:left="426"/>
      </w:pPr>
    </w:p>
    <w:p w14:paraId="72CAFCED" w14:textId="77777777" w:rsidR="00A657B7" w:rsidRDefault="00245051">
      <w:pPr>
        <w:numPr>
          <w:ilvl w:val="0"/>
          <w:numId w:val="26"/>
        </w:numPr>
        <w:rPr>
          <w:bCs/>
        </w:rPr>
      </w:pPr>
      <w:r>
        <w:rPr>
          <w:b/>
          <w:bCs/>
        </w:rPr>
        <w:t>Prag de calitate</w:t>
      </w:r>
      <w:r>
        <w:t xml:space="preserve"> — </w:t>
      </w:r>
      <w:r>
        <w:rPr>
          <w:bCs/>
        </w:rPr>
        <w:t>conform dispozițiilor 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70560D3A" w14:textId="77777777" w:rsidR="00A657B7" w:rsidRDefault="00A657B7">
      <w:pPr>
        <w:ind w:left="426"/>
      </w:pPr>
    </w:p>
    <w:p w14:paraId="30465119" w14:textId="77777777" w:rsidR="00A657B7" w:rsidRDefault="00245051">
      <w:pPr>
        <w:numPr>
          <w:ilvl w:val="0"/>
          <w:numId w:val="26"/>
        </w:numPr>
      </w:pPr>
      <w:r>
        <w:rPr>
          <w:b/>
        </w:rPr>
        <w:t xml:space="preserve">Proiectele cu lucrări </w:t>
      </w:r>
      <w:r>
        <w:t>reprezintă acele tipuri de investiții care implică lucrări de construcții care necesită sau nu autorizație de construire eliberată de autoritățile competente, în conformitate cu prevederile Legii nr. 50/1991, republicată, cu modificările și completările ulterioare.</w:t>
      </w:r>
    </w:p>
    <w:p w14:paraId="14A1FCA2" w14:textId="77777777" w:rsidR="00A657B7" w:rsidRDefault="00A657B7">
      <w:pPr>
        <w:ind w:left="426"/>
        <w:rPr>
          <w:b/>
        </w:rPr>
      </w:pPr>
    </w:p>
    <w:p w14:paraId="25659072" w14:textId="77777777" w:rsidR="00A657B7" w:rsidRDefault="00245051">
      <w:pPr>
        <w:pStyle w:val="ListParagraph"/>
        <w:numPr>
          <w:ilvl w:val="0"/>
          <w:numId w:val="27"/>
        </w:numPr>
        <w:ind w:left="709"/>
      </w:pPr>
      <w:r>
        <w:rPr>
          <w:b/>
        </w:rPr>
        <w:t>Proiectele fără lucrări</w:t>
      </w:r>
      <w:r>
        <w:t xml:space="preserve"> reprezintă investiții care includ doar dotări și/sau servicii fără lucrări de construcții. A se avea în vedere și alți termeni și expresii prevăzuți de legislația europeană/națională în vigoare aplicabilă prezentului ghid, precum și de schema de măsuri de ajutor de stat și de minimis pentru finanțarea investițiilor pentru dezvoltarea IMM care sprijină creșterea durabilă și crearea de locuri de muncă în cadrul Programului Tranziție Justă 2021-2027, aprobată prin Ordinul ministrului investițiilor și proiecte</w:t>
      </w:r>
      <w:r>
        <w:t>lor europene nr. 3996/19.10.2023.</w:t>
      </w:r>
    </w:p>
    <w:p w14:paraId="446324BB" w14:textId="77777777" w:rsidR="00A657B7" w:rsidRDefault="00A657B7">
      <w:pPr>
        <w:pStyle w:val="ListParagraph"/>
        <w:ind w:left="709"/>
      </w:pPr>
    </w:p>
    <w:p w14:paraId="2A84E011" w14:textId="77777777" w:rsidR="00A657B7" w:rsidRDefault="00245051">
      <w:pPr>
        <w:pStyle w:val="Heading1"/>
        <w:numPr>
          <w:ilvl w:val="0"/>
          <w:numId w:val="3"/>
        </w:numPr>
      </w:pPr>
      <w:bookmarkStart w:id="17" w:name="_Hlk142137329_Copy_1"/>
      <w:bookmarkStart w:id="18" w:name="_Toc143499288"/>
      <w:bookmarkStart w:id="19" w:name="_Toc213405527"/>
      <w:bookmarkEnd w:id="17"/>
      <w:r>
        <w:t>ELEMENTE DE CONTEXT</w:t>
      </w:r>
      <w:bookmarkEnd w:id="18"/>
      <w:bookmarkEnd w:id="19"/>
    </w:p>
    <w:p w14:paraId="4694C69D" w14:textId="77777777" w:rsidR="00A657B7" w:rsidRDefault="00245051">
      <w:pPr>
        <w:pStyle w:val="Heading2"/>
        <w:numPr>
          <w:ilvl w:val="1"/>
          <w:numId w:val="3"/>
        </w:numPr>
      </w:pPr>
      <w:bookmarkStart w:id="20" w:name="_Toc143499289"/>
      <w:bookmarkStart w:id="21" w:name="_Toc213405528"/>
      <w:r>
        <w:t>Informații generale Program</w:t>
      </w:r>
      <w:bookmarkEnd w:id="20"/>
      <w:bookmarkEnd w:id="21"/>
      <w:r>
        <w:t xml:space="preserve"> </w:t>
      </w:r>
    </w:p>
    <w:p w14:paraId="2E495156" w14:textId="77777777" w:rsidR="00BE5515" w:rsidRPr="00E7587F" w:rsidRDefault="00BE5515" w:rsidP="00BE5515">
      <w:pPr>
        <w:spacing w:before="100"/>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4DC21E64" w14:textId="77777777" w:rsidR="00BE5515" w:rsidRPr="0094294B" w:rsidRDefault="00BE5515" w:rsidP="00BE5515">
      <w:pPr>
        <w:widowControl w:val="0"/>
        <w:spacing w:after="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2B14CD7A" w14:textId="77777777" w:rsidR="00BE5515" w:rsidRPr="0094294B" w:rsidRDefault="00BE5515" w:rsidP="00BE5515">
      <w:pPr>
        <w:widowControl w:val="0"/>
        <w:spacing w:after="0"/>
        <w:ind w:left="0"/>
        <w:rPr>
          <w:color w:val="000000"/>
        </w:rPr>
      </w:pPr>
      <w:r w:rsidRPr="0094294B">
        <w:rPr>
          <w:color w:val="000000"/>
        </w:rPr>
        <w:t xml:space="preserve">PTJ a fost aprobat de Comisia Europeană prin decizia nr. C(2022) 9125/02.12.2022 si actualizat prin Decizia nr. C(2024) 7317/15.10.2024, fiind implementat de MIPE prin Autoritatea de Management pentru Tranziție Justă și Organismele intermediare din cadrul agențiilor de dezvoltare regională, conform acordurilor de </w:t>
      </w:r>
      <w:r w:rsidRPr="0094294B">
        <w:rPr>
          <w:color w:val="000000"/>
        </w:rPr>
        <w:lastRenderedPageBreak/>
        <w:t>delegare încheiate cu acestea.</w:t>
      </w:r>
    </w:p>
    <w:p w14:paraId="581B916B" w14:textId="77777777" w:rsidR="00BE5515" w:rsidRDefault="00BE5515" w:rsidP="00BE5515">
      <w:pPr>
        <w:widowControl w:val="0"/>
        <w:spacing w:after="0"/>
        <w:ind w:left="0"/>
        <w:rPr>
          <w:color w:val="000000"/>
        </w:rPr>
      </w:pPr>
      <w:r w:rsidRPr="0094294B">
        <w:rPr>
          <w:color w:val="000000"/>
        </w:rPr>
        <w:t xml:space="preserve">Informații suplimentare legate de Programul Tranziție Justă sunt disponibile pe pagina web a programului: </w:t>
      </w:r>
      <w:r>
        <w:fldChar w:fldCharType="begin"/>
      </w:r>
      <w:r>
        <w:instrText>HYPERLINK "https://mfe.gov.ro/ptj-21-27/"</w:instrText>
      </w:r>
      <w:r>
        <w:fldChar w:fldCharType="separate"/>
      </w:r>
      <w:r w:rsidRPr="003728F3">
        <w:rPr>
          <w:rStyle w:val="Hyperlink"/>
        </w:rPr>
        <w:t>https://mfe.gov.ro/ptj-21-27/</w:t>
      </w:r>
      <w:r>
        <w:fldChar w:fldCharType="end"/>
      </w:r>
      <w:r w:rsidRPr="0094294B">
        <w:rPr>
          <w:color w:val="000000"/>
        </w:rPr>
        <w:t xml:space="preserve">. </w:t>
      </w:r>
    </w:p>
    <w:p w14:paraId="34A69661" w14:textId="77777777" w:rsidR="00BE5515" w:rsidRPr="00E7587F" w:rsidRDefault="00BE5515" w:rsidP="00BE5515">
      <w:pPr>
        <w:widowControl w:val="0"/>
        <w:spacing w:after="0"/>
        <w:ind w:left="0"/>
      </w:pPr>
      <w:r w:rsidRPr="00E7587F">
        <w:rPr>
          <w:rFonts w:cstheme="minorHAnsi"/>
        </w:rPr>
        <w:t>PTJ 2021-2027 este structurat pe 7</w:t>
      </w:r>
      <w:r>
        <w:rPr>
          <w:rFonts w:cstheme="minorHAnsi"/>
        </w:rPr>
        <w:t xml:space="preserve"> </w:t>
      </w:r>
      <w:r w:rsidRPr="00E7587F">
        <w:rPr>
          <w:rFonts w:cstheme="minorHAnsi"/>
        </w:rPr>
        <w:t>priorit</w:t>
      </w:r>
      <w:r>
        <w:rPr>
          <w:rFonts w:cstheme="minorHAnsi"/>
        </w:rPr>
        <w:t>ăți</w:t>
      </w:r>
      <w:r w:rsidRPr="00E7587F">
        <w:rPr>
          <w:rFonts w:cstheme="minorHAnsi"/>
        </w:rPr>
        <w:t>, fiind elaborat</w:t>
      </w:r>
      <w:r>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75E3DF47" w14:textId="77777777" w:rsidR="00BE5515" w:rsidRPr="00D43EFC" w:rsidRDefault="00BE5515" w:rsidP="00BE5515">
      <w:pPr>
        <w:widowControl w:val="0"/>
        <w:spacing w:after="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41F9910B" w14:textId="77777777" w:rsidR="00BE5515" w:rsidRPr="00E7587F" w:rsidRDefault="00BE5515" w:rsidP="00BE5515">
      <w:pPr>
        <w:ind w:left="0"/>
      </w:pPr>
      <w:r w:rsidRPr="00E7587F">
        <w:t xml:space="preserve">Informații suplimentare legate de Programul Tranziție Justă sunt disponibile pe pagina web a programului: </w:t>
      </w:r>
      <w:r>
        <w:fldChar w:fldCharType="begin"/>
      </w:r>
      <w:r>
        <w:instrText>HYPERLINK "https://mfe.gov.ro/ptj-21-27/"</w:instrText>
      </w:r>
      <w:r>
        <w:fldChar w:fldCharType="separate"/>
      </w:r>
      <w:r w:rsidRPr="00E7587F">
        <w:rPr>
          <w:rStyle w:val="Hyperlink"/>
        </w:rPr>
        <w:t>https://mfe.gov.ro/ptj-21-27/</w:t>
      </w:r>
      <w:r>
        <w:fldChar w:fldCharType="end"/>
      </w:r>
      <w:r w:rsidRPr="00E7587F">
        <w:t xml:space="preserve"> </w:t>
      </w:r>
    </w:p>
    <w:p w14:paraId="160B53F6" w14:textId="77777777" w:rsidR="00A657B7" w:rsidRDefault="00A657B7">
      <w:pPr>
        <w:ind w:left="0"/>
      </w:pPr>
    </w:p>
    <w:p w14:paraId="4BA0B585" w14:textId="77777777" w:rsidR="00A657B7" w:rsidRDefault="00245051">
      <w:pPr>
        <w:pStyle w:val="Heading2"/>
        <w:numPr>
          <w:ilvl w:val="1"/>
          <w:numId w:val="3"/>
        </w:numPr>
      </w:pPr>
      <w:bookmarkStart w:id="22" w:name="_Toc143499290"/>
      <w:bookmarkStart w:id="23" w:name="_Toc213405529"/>
      <w:r>
        <w:t>Prioritatea/Fond/Obiectiv de politică/Obiectiv specific</w:t>
      </w:r>
      <w:bookmarkEnd w:id="22"/>
      <w:bookmarkEnd w:id="23"/>
    </w:p>
    <w:p w14:paraId="6F608F26" w14:textId="77777777" w:rsidR="00A657B7" w:rsidRDefault="00245051">
      <w:pPr>
        <w:ind w:left="0"/>
      </w:pPr>
      <w:r>
        <w:t>Prezentul ghid se aplică pentru acțiuni privind dezvoltarea de capacități de mici dimensiuni de producție, transport și stocare de energie din surse regenerabile – clădiri publice din cadrul priorităților 1-6 a PTJ 2021-2027, respectiv atenuarea impactului socio-economic al tranziției la neutralitatea climatică în județele Gorj, Hunedoara, Dolj, Galați, Prahova și Mureș.</w:t>
      </w:r>
    </w:p>
    <w:p w14:paraId="66608ADB" w14:textId="77777777" w:rsidR="00A657B7" w:rsidRDefault="00245051">
      <w:pPr>
        <w:ind w:left="0"/>
      </w:pPr>
      <w:r>
        <w:t>Investițiile propuse trebuie să se încadreze în următorul obiectiv specific și domeniu de aplicare a fondurilor mai jos menționate:</w:t>
      </w:r>
    </w:p>
    <w:p w14:paraId="20BBDCAF" w14:textId="77777777" w:rsidR="00A657B7" w:rsidRDefault="00A657B7">
      <w:pPr>
        <w:spacing w:after="0"/>
        <w:rPr>
          <w:color w:val="000000"/>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BE5515" w:rsidRPr="00BE5515" w14:paraId="24F3EE77" w14:textId="77777777" w:rsidTr="004F0E4D">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414D859F"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174"/>
              <w:jc w:val="left"/>
              <w:rPr>
                <w:b/>
                <w:bCs/>
                <w:color w:val="FFFFFF"/>
                <w:sz w:val="18"/>
                <w:szCs w:val="18"/>
              </w:rPr>
            </w:pPr>
            <w:r w:rsidRPr="00BE5515">
              <w:rPr>
                <w:b/>
                <w:bCs/>
                <w:color w:val="FFFFFF"/>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560BFCF4"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BE5515" w:rsidRPr="00BE5515" w14:paraId="435201A2" w14:textId="77777777" w:rsidTr="004F0E4D">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D100C32"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174"/>
              <w:jc w:val="left"/>
              <w:rPr>
                <w:b/>
                <w:bCs/>
                <w:color w:val="FFFFFF"/>
                <w:sz w:val="18"/>
                <w:szCs w:val="18"/>
              </w:rPr>
            </w:pPr>
            <w:r w:rsidRPr="00BE5515">
              <w:rPr>
                <w:b/>
                <w:bCs/>
                <w:color w:val="FFFFFF"/>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2BB0A026"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31FC9E4F" w14:textId="77777777" w:rsidR="00BE5515" w:rsidRPr="00BE5515" w:rsidRDefault="00BE5515" w:rsidP="00BE5515">
            <w:pPr>
              <w:widowControl w:val="0"/>
              <w:pBdr>
                <w:top w:val="none" w:sz="0" w:space="0" w:color="auto"/>
                <w:left w:val="none" w:sz="0" w:space="0" w:color="auto"/>
                <w:bottom w:val="none" w:sz="0" w:space="0" w:color="auto"/>
                <w:right w:val="none" w:sz="0" w:space="0" w:color="auto"/>
                <w:between w:val="none" w:sz="0" w:space="0" w:color="auto"/>
              </w:pBdr>
              <w:spacing w:before="0"/>
              <w:ind w:left="0"/>
              <w:rPr>
                <w:sz w:val="18"/>
                <w:szCs w:val="18"/>
              </w:rPr>
            </w:pPr>
            <w:r w:rsidRPr="00BE5515">
              <w:rPr>
                <w:sz w:val="18"/>
                <w:szCs w:val="18"/>
              </w:rPr>
              <w:t>FTJ sprijină obiectivul Investiții pentru ocuparea forței de muncă și creștere economică în toate statele membre.</w:t>
            </w:r>
          </w:p>
        </w:tc>
      </w:tr>
    </w:tbl>
    <w:p w14:paraId="25F22055" w14:textId="77777777" w:rsidR="00A657B7" w:rsidRDefault="00A657B7"/>
    <w:p w14:paraId="54CF2077" w14:textId="77777777" w:rsidR="00A657B7" w:rsidRDefault="00245051">
      <w:pPr>
        <w:pStyle w:val="Heading2"/>
        <w:numPr>
          <w:ilvl w:val="1"/>
          <w:numId w:val="3"/>
        </w:numPr>
      </w:pPr>
      <w:bookmarkStart w:id="24" w:name="_Hlk142136372"/>
      <w:bookmarkStart w:id="25" w:name="_Hlk142136402"/>
      <w:bookmarkStart w:id="26" w:name="_Toc143499291"/>
      <w:bookmarkStart w:id="27" w:name="_Toc213405530"/>
      <w:bookmarkEnd w:id="24"/>
      <w:r>
        <w:t>Reglementări europene și naționale, cadrul strategic, documente programatice aplicabile</w:t>
      </w:r>
      <w:bookmarkEnd w:id="25"/>
      <w:bookmarkEnd w:id="26"/>
      <w:bookmarkEnd w:id="27"/>
    </w:p>
    <w:p w14:paraId="291D48ED" w14:textId="77777777" w:rsidR="00A657B7" w:rsidRDefault="00245051">
      <w:pPr>
        <w:ind w:hanging="360"/>
      </w:pPr>
      <w:r>
        <w:t>●   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w:t>
      </w:r>
      <w:r>
        <w:t>jin financiar pentru managementul frontierelor și politica de vize, cu modificările și completările ulterioare;</w:t>
      </w:r>
    </w:p>
    <w:p w14:paraId="638381D0" w14:textId="77777777" w:rsidR="00A657B7" w:rsidRDefault="00245051">
      <w:pPr>
        <w:pStyle w:val="ListParagraph"/>
        <w:ind w:hanging="360"/>
      </w:pPr>
      <w:r>
        <w:t>●   Regulamentul (UE) nr. 1056/2021 al Parlamentului European și al Consiliului din 24 iunie 2021 de instituire a Fondului pentru o tranziție justă, cu modificările și completările ulterioare;</w:t>
      </w:r>
    </w:p>
    <w:p w14:paraId="471800F9" w14:textId="77777777" w:rsidR="00A657B7" w:rsidRDefault="00245051">
      <w:pPr>
        <w:pStyle w:val="ListParagraph"/>
        <w:ind w:hanging="360"/>
      </w:pPr>
      <w:r>
        <w:t>●    Regulamentului (UE) nr. 651/2014 al Comisiei din 17 iunie 2014, de declarare a anumitor categorii de ajutoare compatibile cu piața internă în aplicarea articolelor 107 și 108 din tratat, cu modificările și completările ulterioare;</w:t>
      </w:r>
    </w:p>
    <w:p w14:paraId="7EEA2652" w14:textId="77777777" w:rsidR="00A657B7" w:rsidRDefault="00245051">
      <w:pPr>
        <w:pStyle w:val="ListParagraph"/>
        <w:numPr>
          <w:ilvl w:val="0"/>
          <w:numId w:val="28"/>
        </w:numPr>
      </w:pPr>
      <w:r>
        <w:lastRenderedPageBreak/>
        <w:t>Regulamentului Consiliului (CE, EURATOM) nr. 2988/1995 privind protecția intereselor financiare ale Comunităților Europene, cu modificările și completările ulterioare;</w:t>
      </w:r>
    </w:p>
    <w:p w14:paraId="5F351EC9" w14:textId="77777777" w:rsidR="00BE5515" w:rsidRDefault="00245051">
      <w:pPr>
        <w:pStyle w:val="ListParagraph"/>
        <w:numPr>
          <w:ilvl w:val="0"/>
          <w:numId w:val="28"/>
        </w:numPr>
      </w:pPr>
      <w:r>
        <w:t xml:space="preserve">Regulamentului (UE, Euratom) nr. </w:t>
      </w:r>
      <w:r w:rsidR="00BE5515">
        <w:t>nr. 2988/1995 privind protecția intereselor financiare ale Comunităților Europene, cu modificările și completările ulterioare;</w:t>
      </w:r>
    </w:p>
    <w:p w14:paraId="20829B37" w14:textId="77777777" w:rsidR="00BE5515" w:rsidRDefault="00BE5515">
      <w:pPr>
        <w:pStyle w:val="ListParagraph"/>
        <w:numPr>
          <w:ilvl w:val="0"/>
          <w:numId w:val="28"/>
        </w:numPr>
      </w:pPr>
      <w:r>
        <w:t>Regulamentului (UE, Euratom) 2024/2509 al Parlamentului European și al Consiliului din 23 septembrie 2024 privind normele financiare aplicabile bugetului general al Uniunii (reformare);</w:t>
      </w:r>
    </w:p>
    <w:p w14:paraId="1309F26B" w14:textId="40693E2A" w:rsidR="00A657B7" w:rsidRDefault="00245051">
      <w:pPr>
        <w:pStyle w:val="ListParagraph"/>
        <w:numPr>
          <w:ilvl w:val="0"/>
          <w:numId w:val="28"/>
        </w:numPr>
      </w:pPr>
      <w:r>
        <w:t>Regulamentul (UE, EURATOM) nr. 2020/2093 al Consiliului din 17 decembrie 2020 de stabilire a cadrului financiar multianual pentru perioada 2021 – 2027;</w:t>
      </w:r>
    </w:p>
    <w:p w14:paraId="7FA5B448" w14:textId="77777777" w:rsidR="00A657B7" w:rsidRDefault="00245051">
      <w:pPr>
        <w:pStyle w:val="ListParagraph"/>
        <w:numPr>
          <w:ilvl w:val="0"/>
          <w:numId w:val="28"/>
        </w:numPr>
      </w:pPr>
      <w: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3021DF4" w14:textId="77777777" w:rsidR="00A657B7" w:rsidRDefault="00245051">
      <w:pPr>
        <w:pStyle w:val="ListParagraph"/>
        <w:numPr>
          <w:ilvl w:val="0"/>
          <w:numId w:val="28"/>
        </w:numPr>
      </w:pPr>
      <w:r>
        <w:t>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5343CD6A" w14:textId="77777777" w:rsidR="00A657B7" w:rsidRDefault="00245051">
      <w:pPr>
        <w:pStyle w:val="ListParagraph"/>
        <w:numPr>
          <w:ilvl w:val="0"/>
          <w:numId w:val="28"/>
        </w:numPr>
      </w:pPr>
      <w:r>
        <w:t xml:space="preserve">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w:t>
      </w:r>
      <w:r>
        <w:t>celelalte obiective de mediu.</w:t>
      </w:r>
    </w:p>
    <w:p w14:paraId="6B2C490D" w14:textId="77777777" w:rsidR="00A657B7" w:rsidRDefault="00245051">
      <w:pPr>
        <w:pStyle w:val="ListParagraph"/>
        <w:numPr>
          <w:ilvl w:val="0"/>
          <w:numId w:val="28"/>
        </w:numPr>
      </w:pPr>
      <w:r>
        <w:t xml:space="preserve">Comunicare a Comisiei C (2021) 1054 final din 12 februarie 2021. Orientări tehnice privind aplicarea principiului de „a nu prejudicia în mod semnificativ” în temeiul Regulamentului privind Mecanismul de redresare și reziliență; </w:t>
      </w:r>
    </w:p>
    <w:p w14:paraId="1CFB66FE" w14:textId="77777777" w:rsidR="00A657B7" w:rsidRDefault="00245051">
      <w:pPr>
        <w:pStyle w:val="ListParagraph"/>
        <w:numPr>
          <w:ilvl w:val="0"/>
          <w:numId w:val="28"/>
        </w:numPr>
      </w:pPr>
      <w:r>
        <w:t>Comunicarea Comisiei (2021/C 373/01) - Orientări tehnice referitoare la imunizarea infrastructurii la schimbările climatice în perioada 2021-2027;</w:t>
      </w:r>
    </w:p>
    <w:p w14:paraId="73AAEE12" w14:textId="77777777" w:rsidR="00A657B7" w:rsidRDefault="00245051">
      <w:pPr>
        <w:pStyle w:val="ListParagraph"/>
        <w:numPr>
          <w:ilvl w:val="0"/>
          <w:numId w:val="28"/>
        </w:numPr>
      </w:pPr>
      <w:r>
        <w:t>Convenția ONU privind Drepturile Persoanelor cu Dizabilități adoptată la 13 decembrie 2006 de către Adunarea Generală a ONU;</w:t>
      </w:r>
    </w:p>
    <w:p w14:paraId="7F7C1388" w14:textId="77777777" w:rsidR="00A657B7" w:rsidRDefault="00245051">
      <w:pPr>
        <w:ind w:hanging="360"/>
      </w:pPr>
      <w:r>
        <w:t>●    Legea nr. 50/1991 privind autorizarea executării lucrărilor de construcții, republicată, cu modificările și completările ulterioare;</w:t>
      </w:r>
    </w:p>
    <w:p w14:paraId="5606574B" w14:textId="77777777" w:rsidR="00A657B7" w:rsidRDefault="00245051">
      <w:pPr>
        <w:ind w:left="630" w:hanging="270"/>
      </w:pPr>
      <w:r>
        <w:t>●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C4FC112" w14:textId="77777777" w:rsidR="00A657B7" w:rsidRDefault="00245051">
      <w:pPr>
        <w:ind w:left="630" w:hanging="270"/>
      </w:pPr>
      <w:r>
        <w:t>● HG nr. 907/2016 privind etapele de elaborare și conținutul-cadru al documentațiilor tehnico-economice aferente obiectivelor/proiectelor de investiții finanțate din fonduri publice, cu modificările și completările ulterioare;</w:t>
      </w:r>
    </w:p>
    <w:p w14:paraId="2AAEADCD" w14:textId="77777777" w:rsidR="00A657B7" w:rsidRDefault="00245051">
      <w:pPr>
        <w:ind w:left="630" w:hanging="270"/>
      </w:pPr>
      <w:r>
        <w:t>● 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p>
    <w:p w14:paraId="0A4E5849" w14:textId="77777777" w:rsidR="00A657B7" w:rsidRDefault="00245051">
      <w:pPr>
        <w:pStyle w:val="ListParagraph"/>
        <w:numPr>
          <w:ilvl w:val="0"/>
          <w:numId w:val="28"/>
        </w:numPr>
      </w:pPr>
      <w: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A9D8E94" w14:textId="77777777" w:rsidR="00A657B7" w:rsidRDefault="00245051">
      <w:pPr>
        <w:pStyle w:val="ListParagraph"/>
        <w:numPr>
          <w:ilvl w:val="0"/>
          <w:numId w:val="28"/>
        </w:numPr>
      </w:pPr>
      <w:r>
        <w:t>Hotărârea Guvernului nr. 1.076/2021 pentru aprobarea Planului naţional integrat în domeniul energiei şi schimbărilor climatice 2021-2030;</w:t>
      </w:r>
    </w:p>
    <w:p w14:paraId="0973CE76" w14:textId="77777777" w:rsidR="00A657B7" w:rsidRDefault="00245051">
      <w:pPr>
        <w:ind w:hanging="360"/>
      </w:pPr>
      <w:r>
        <w:lastRenderedPageBreak/>
        <w:t>●   OUG nr. 23/2023 privind instituirea unor măsuri de simplificare și digitalizare pentru gestionarea fondurilor europene aferente Politicii de coeziune 2021—2027, cu modificările și completările ulterioare.</w:t>
      </w:r>
    </w:p>
    <w:p w14:paraId="3AC440BC" w14:textId="77777777" w:rsidR="00A657B7" w:rsidRDefault="00245051">
      <w:pPr>
        <w:pStyle w:val="ListParagraph"/>
        <w:numPr>
          <w:ilvl w:val="0"/>
          <w:numId w:val="28"/>
        </w:numPr>
      </w:pPr>
      <w:r>
        <w:t>Ordinul nr. 1777 / 2023 al ministrului investițiilor și proiectelor europene privind aprobarea conținutului/modelului/formatului/structurii-cadru pentru documentele prevăzute în OUG nr. 23/2023</w:t>
      </w:r>
    </w:p>
    <w:p w14:paraId="02BDF666" w14:textId="77777777" w:rsidR="005039F6" w:rsidRPr="00AD3EF5" w:rsidRDefault="005039F6">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pPr>
      <w:r w:rsidRPr="00AD3EF5">
        <w:t>Ordinul ministrului investițiilor și proiectelor europene nr. 6.059 din 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și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p>
    <w:p w14:paraId="4CA25BA7" w14:textId="77777777" w:rsidR="005039F6" w:rsidRDefault="005039F6">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tabs>
          <w:tab w:val="left" w:pos="1170"/>
        </w:tabs>
      </w:pPr>
      <w:r>
        <w:t>Alte normative și reglementări tehnice în domeniu, în vigoare la momentul întocmirii documentaţiilor tehnico-economice/evaluării cererilor de finanţare.</w:t>
      </w:r>
    </w:p>
    <w:p w14:paraId="49F22C07" w14:textId="77777777" w:rsidR="00A657B7" w:rsidRDefault="00A657B7">
      <w:pPr>
        <w:ind w:left="0"/>
      </w:pPr>
    </w:p>
    <w:p w14:paraId="6A8FEFDE" w14:textId="77777777" w:rsidR="00A657B7" w:rsidRDefault="00245051">
      <w:pPr>
        <w:pStyle w:val="Heading1"/>
        <w:numPr>
          <w:ilvl w:val="0"/>
          <w:numId w:val="3"/>
        </w:numPr>
      </w:pPr>
      <w:bookmarkStart w:id="28" w:name="_Hlk142136372_Copy_1"/>
      <w:bookmarkStart w:id="29" w:name="_Toc143499292"/>
      <w:bookmarkStart w:id="30" w:name="_Toc213405531"/>
      <w:bookmarkEnd w:id="28"/>
      <w:r>
        <w:t>ASPECTE SPECIFICE APELULUI DE PROIECTE</w:t>
      </w:r>
      <w:bookmarkEnd w:id="29"/>
      <w:bookmarkEnd w:id="30"/>
      <w:r>
        <w:t xml:space="preserve"> </w:t>
      </w:r>
    </w:p>
    <w:p w14:paraId="2EF203FF" w14:textId="77777777" w:rsidR="00A657B7" w:rsidRDefault="00245051">
      <w:pPr>
        <w:ind w:left="0"/>
      </w:pPr>
      <w:r>
        <w:t>Apelurile de proiecte prevăzute de prezentul ghid vor fi lansate în sistemul informatic MySMIS2021/SMIS2021+.</w:t>
      </w:r>
    </w:p>
    <w:p w14:paraId="15901A24" w14:textId="77777777" w:rsidR="00A657B7" w:rsidRDefault="00245051">
      <w:pPr>
        <w:pStyle w:val="Heading2"/>
        <w:numPr>
          <w:ilvl w:val="1"/>
          <w:numId w:val="3"/>
        </w:numPr>
      </w:pPr>
      <w:bookmarkStart w:id="31" w:name="_Toc143499293"/>
      <w:bookmarkStart w:id="32" w:name="_Toc213405532"/>
      <w:r>
        <w:t>Tipul de apel de proiecte</w:t>
      </w:r>
      <w:bookmarkEnd w:id="31"/>
      <w:bookmarkEnd w:id="32"/>
    </w:p>
    <w:p w14:paraId="2FACA938" w14:textId="0F6B708D" w:rsidR="00B53E43" w:rsidRPr="00B53E43" w:rsidRDefault="00245051" w:rsidP="00B53E43">
      <w:pPr>
        <w:ind w:left="0"/>
        <w:rPr>
          <w:color w:val="231F20"/>
        </w:rPr>
      </w:pPr>
      <w:r>
        <w:t xml:space="preserve">Apelurile de proiecte sunt de tip </w:t>
      </w:r>
      <w:r>
        <w:rPr>
          <w:b/>
          <w:bCs/>
        </w:rPr>
        <w:t>competitiv,</w:t>
      </w:r>
      <w:r>
        <w:t xml:space="preserve"> </w:t>
      </w:r>
      <w:r w:rsidR="00D72C0F">
        <w:t>cu</w:t>
      </w:r>
      <w:r>
        <w:t xml:space="preserve"> termen limită de depunere, derulate prin platforma electronică MYSMIS, iar procesul de evaluare, selecție, contractare va fi realizat în conformitate cu prevederile </w:t>
      </w:r>
      <w:r w:rsidR="00B53E43" w:rsidRPr="00B53E43">
        <w:rPr>
          <w:b/>
          <w:bCs/>
          <w:color w:val="0070C0"/>
        </w:rPr>
        <w:t xml:space="preserve">Secțiunii 8 - PROCESUL DE EVALUARE, SELECȚIE ȘI CONTRACTARE A PROIECTELOR </w:t>
      </w:r>
      <w:r w:rsidR="00B53E43" w:rsidRPr="00B53E43">
        <w:rPr>
          <w:color w:val="231F20"/>
        </w:rPr>
        <w:t>din prezentul ghid.</w:t>
      </w:r>
    </w:p>
    <w:p w14:paraId="54479C03" w14:textId="0DE4958D" w:rsidR="00A657B7" w:rsidRDefault="00A657B7">
      <w:pPr>
        <w:ind w:left="0"/>
      </w:pPr>
    </w:p>
    <w:p w14:paraId="5A38FD20" w14:textId="77777777" w:rsidR="00A657B7" w:rsidRDefault="00245051">
      <w:pPr>
        <w:spacing w:after="0"/>
        <w:ind w:left="0"/>
      </w:pPr>
      <w:r>
        <w:t>Având în vedere specificul acțiunilor finanțate în cadrul prezentului ghid, apelurile de proiecte se vor lansa conform tabelului de mai jos:</w:t>
      </w:r>
    </w:p>
    <w:p w14:paraId="57538CE4" w14:textId="77777777" w:rsidR="00A657B7" w:rsidRDefault="00A657B7">
      <w:pPr>
        <w:spacing w:after="0"/>
        <w:ind w:left="0"/>
        <w:rPr>
          <w:color w:val="231F20"/>
        </w:rPr>
      </w:pPr>
    </w:p>
    <w:tbl>
      <w:tblPr>
        <w:tblStyle w:val="7"/>
        <w:tblW w:w="8599"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188"/>
        <w:gridCol w:w="6411"/>
      </w:tblGrid>
      <w:tr w:rsidR="00F31268" w:rsidRPr="00B53E43" w14:paraId="334ABB6F" w14:textId="77777777" w:rsidTr="00F3126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88" w:type="dxa"/>
            <w:vAlign w:val="center"/>
          </w:tcPr>
          <w:p w14:paraId="2878473B" w14:textId="77777777" w:rsidR="00F31268" w:rsidRPr="00B53E43" w:rsidRDefault="00F31268" w:rsidP="00B53E43">
            <w:pPr>
              <w:spacing w:after="0"/>
              <w:ind w:left="10"/>
              <w:jc w:val="center"/>
              <w:rPr>
                <w:sz w:val="18"/>
                <w:szCs w:val="18"/>
              </w:rPr>
            </w:pPr>
            <w:r w:rsidRPr="00B53E43">
              <w:rPr>
                <w:sz w:val="18"/>
                <w:szCs w:val="18"/>
              </w:rPr>
              <w:t xml:space="preserve">Nr apel </w:t>
            </w:r>
          </w:p>
        </w:tc>
        <w:tc>
          <w:tcPr>
            <w:tcW w:w="6411" w:type="dxa"/>
            <w:vAlign w:val="center"/>
          </w:tcPr>
          <w:p w14:paraId="2951698B" w14:textId="77777777" w:rsidR="00F31268" w:rsidRPr="00B53E43" w:rsidRDefault="00F31268" w:rsidP="00B53E43">
            <w:pPr>
              <w:spacing w:after="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B53E43">
              <w:rPr>
                <w:sz w:val="18"/>
                <w:szCs w:val="18"/>
              </w:rPr>
              <w:t>Titlu apel</w:t>
            </w:r>
          </w:p>
        </w:tc>
      </w:tr>
      <w:tr w:rsidR="00F31268" w:rsidRPr="00B53E43" w14:paraId="7EC61332" w14:textId="77777777" w:rsidTr="00F31268">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88" w:type="dxa"/>
          </w:tcPr>
          <w:p w14:paraId="4B070646" w14:textId="77777777" w:rsidR="00F31268" w:rsidRPr="00B53E43" w:rsidRDefault="00F31268" w:rsidP="00B53E43">
            <w:pPr>
              <w:spacing w:after="0"/>
              <w:ind w:left="10"/>
              <w:rPr>
                <w:sz w:val="18"/>
                <w:szCs w:val="18"/>
              </w:rPr>
            </w:pPr>
            <w:bookmarkStart w:id="33" w:name="_heading=h.35nkun2" w:colFirst="0" w:colLast="0"/>
            <w:bookmarkEnd w:id="33"/>
            <w:r w:rsidRPr="00B53E43">
              <w:rPr>
                <w:sz w:val="18"/>
                <w:szCs w:val="18"/>
              </w:rPr>
              <w:t>PTJ/P1/3.3/3.C/GJ</w:t>
            </w:r>
          </w:p>
        </w:tc>
        <w:tc>
          <w:tcPr>
            <w:tcW w:w="6411" w:type="dxa"/>
          </w:tcPr>
          <w:p w14:paraId="67889B98" w14:textId="7777777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transportului public verde, PTJ - Prioritatea 1 </w:t>
            </w:r>
            <w:r w:rsidRPr="00B53E43">
              <w:rPr>
                <w:b/>
                <w:color w:val="266E8B"/>
                <w:sz w:val="18"/>
                <w:szCs w:val="18"/>
              </w:rPr>
              <w:t>Gorj</w:t>
            </w:r>
          </w:p>
        </w:tc>
      </w:tr>
      <w:tr w:rsidR="00F31268" w:rsidRPr="00B53E43" w14:paraId="47D44E0B"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EAA1A72" w14:textId="77777777" w:rsidR="00F31268" w:rsidRPr="00B53E43" w:rsidRDefault="00F31268" w:rsidP="00B53E43">
            <w:pPr>
              <w:spacing w:after="0"/>
              <w:ind w:left="10"/>
              <w:rPr>
                <w:sz w:val="18"/>
                <w:szCs w:val="18"/>
              </w:rPr>
            </w:pPr>
            <w:r w:rsidRPr="00B53E43">
              <w:rPr>
                <w:sz w:val="18"/>
                <w:szCs w:val="18"/>
              </w:rPr>
              <w:t>PTJ/P2/3.3/3.C /HD</w:t>
            </w:r>
          </w:p>
        </w:tc>
        <w:tc>
          <w:tcPr>
            <w:tcW w:w="6411" w:type="dxa"/>
          </w:tcPr>
          <w:p w14:paraId="0EC572DD" w14:textId="77777777"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transportului public verde, PTJ - Prioritatea 2 </w:t>
            </w:r>
            <w:r w:rsidRPr="00B53E43">
              <w:rPr>
                <w:b/>
                <w:color w:val="266E8B"/>
                <w:sz w:val="18"/>
                <w:szCs w:val="18"/>
              </w:rPr>
              <w:t>Hunedoara</w:t>
            </w:r>
          </w:p>
        </w:tc>
      </w:tr>
      <w:tr w:rsidR="00F31268" w:rsidRPr="00B53E43" w14:paraId="1BD1D3EF"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C305D4C" w14:textId="77777777" w:rsidR="00F31268" w:rsidRPr="00B53E43" w:rsidRDefault="00F31268" w:rsidP="00B53E43">
            <w:pPr>
              <w:spacing w:after="0"/>
              <w:ind w:left="10"/>
              <w:rPr>
                <w:sz w:val="18"/>
                <w:szCs w:val="18"/>
              </w:rPr>
            </w:pPr>
            <w:r w:rsidRPr="00B53E43">
              <w:rPr>
                <w:sz w:val="18"/>
                <w:szCs w:val="18"/>
              </w:rPr>
              <w:t>PTJ/P2/3.3/3.C /HD/ITI VJ</w:t>
            </w:r>
          </w:p>
        </w:tc>
        <w:tc>
          <w:tcPr>
            <w:tcW w:w="6411" w:type="dxa"/>
          </w:tcPr>
          <w:p w14:paraId="16782FE3" w14:textId="7777777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transportului public verde, PTJ - Prioritatea 2 </w:t>
            </w:r>
            <w:r w:rsidRPr="00B53E43">
              <w:rPr>
                <w:b/>
                <w:color w:val="266E8B"/>
                <w:sz w:val="18"/>
                <w:szCs w:val="18"/>
              </w:rPr>
              <w:t>Hunedoara ITI VALEA JIULUI</w:t>
            </w:r>
          </w:p>
        </w:tc>
      </w:tr>
      <w:tr w:rsidR="00F31268" w:rsidRPr="00B53E43" w14:paraId="4946E8BB"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603173F9" w14:textId="77777777" w:rsidR="00F31268" w:rsidRPr="00B53E43" w:rsidRDefault="00F31268" w:rsidP="00B53E43">
            <w:pPr>
              <w:spacing w:after="0"/>
              <w:ind w:left="10"/>
              <w:rPr>
                <w:sz w:val="18"/>
                <w:szCs w:val="18"/>
              </w:rPr>
            </w:pPr>
            <w:r w:rsidRPr="00B53E43">
              <w:rPr>
                <w:sz w:val="18"/>
                <w:szCs w:val="18"/>
              </w:rPr>
              <w:t>PTJ/P3/3.3/3.C /DJ</w:t>
            </w:r>
          </w:p>
        </w:tc>
        <w:tc>
          <w:tcPr>
            <w:tcW w:w="6411" w:type="dxa"/>
          </w:tcPr>
          <w:p w14:paraId="643B12A3" w14:textId="77777777"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transportului public verde, PTJ - - Prioritatea 3 </w:t>
            </w:r>
            <w:r w:rsidRPr="00B53E43">
              <w:rPr>
                <w:b/>
                <w:color w:val="266E8B"/>
                <w:sz w:val="18"/>
                <w:szCs w:val="18"/>
              </w:rPr>
              <w:t>Dolj</w:t>
            </w:r>
          </w:p>
        </w:tc>
      </w:tr>
      <w:tr w:rsidR="00F31268" w:rsidRPr="00B53E43" w14:paraId="188B75BC"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0522BC52" w14:textId="77777777" w:rsidR="00F31268" w:rsidRPr="00B53E43" w:rsidRDefault="00F31268" w:rsidP="00B53E43">
            <w:pPr>
              <w:spacing w:after="0"/>
              <w:ind w:left="10"/>
              <w:rPr>
                <w:sz w:val="18"/>
                <w:szCs w:val="18"/>
              </w:rPr>
            </w:pPr>
            <w:r w:rsidRPr="00B53E43">
              <w:rPr>
                <w:sz w:val="18"/>
                <w:szCs w:val="18"/>
              </w:rPr>
              <w:t>PTJ/P4/3.3/3.C /GL</w:t>
            </w:r>
          </w:p>
        </w:tc>
        <w:tc>
          <w:tcPr>
            <w:tcW w:w="6411" w:type="dxa"/>
          </w:tcPr>
          <w:p w14:paraId="209F40F3" w14:textId="7777777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transportului public verde, PTJ - - Prioritatea 4 </w:t>
            </w:r>
            <w:r w:rsidRPr="00B53E43">
              <w:rPr>
                <w:b/>
                <w:color w:val="266E8B"/>
                <w:sz w:val="18"/>
                <w:szCs w:val="18"/>
              </w:rPr>
              <w:t>Galați</w:t>
            </w:r>
          </w:p>
        </w:tc>
      </w:tr>
      <w:tr w:rsidR="00F31268" w:rsidRPr="00B53E43" w14:paraId="3681B658" w14:textId="77777777" w:rsidTr="00F31268">
        <w:trPr>
          <w:trHeight w:val="345"/>
        </w:trPr>
        <w:tc>
          <w:tcPr>
            <w:cnfStyle w:val="001000000000" w:firstRow="0" w:lastRow="0" w:firstColumn="1" w:lastColumn="0" w:oddVBand="0" w:evenVBand="0" w:oddHBand="0" w:evenHBand="0" w:firstRowFirstColumn="0" w:firstRowLastColumn="0" w:lastRowFirstColumn="0" w:lastRowLastColumn="0"/>
            <w:tcW w:w="2188" w:type="dxa"/>
          </w:tcPr>
          <w:p w14:paraId="0F7C036D" w14:textId="77777777" w:rsidR="00F31268" w:rsidRPr="00B53E43" w:rsidRDefault="00F31268" w:rsidP="00B53E43">
            <w:pPr>
              <w:spacing w:after="0"/>
              <w:ind w:left="10"/>
              <w:rPr>
                <w:sz w:val="18"/>
                <w:szCs w:val="18"/>
              </w:rPr>
            </w:pPr>
            <w:r w:rsidRPr="00B53E43">
              <w:rPr>
                <w:sz w:val="18"/>
                <w:szCs w:val="18"/>
              </w:rPr>
              <w:t>PTJ/P5/3.3/3.C /PH</w:t>
            </w:r>
          </w:p>
        </w:tc>
        <w:tc>
          <w:tcPr>
            <w:tcW w:w="6411" w:type="dxa"/>
          </w:tcPr>
          <w:p w14:paraId="239C1942" w14:textId="77777777" w:rsidR="00F31268" w:rsidRPr="00B53E43" w:rsidRDefault="00F31268" w:rsidP="00B53E43">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B53E43">
              <w:rPr>
                <w:sz w:val="18"/>
                <w:szCs w:val="18"/>
              </w:rPr>
              <w:t xml:space="preserve">Dezvoltarea transportului public verde, PTJ - - Prioritatea 5 </w:t>
            </w:r>
            <w:r w:rsidRPr="00B53E43">
              <w:rPr>
                <w:b/>
                <w:color w:val="266E8B"/>
                <w:sz w:val="18"/>
                <w:szCs w:val="18"/>
              </w:rPr>
              <w:t>Prahova</w:t>
            </w:r>
          </w:p>
        </w:tc>
      </w:tr>
      <w:tr w:rsidR="00F31268" w:rsidRPr="00B53E43" w14:paraId="6003D21B" w14:textId="77777777" w:rsidTr="00F31268">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88" w:type="dxa"/>
          </w:tcPr>
          <w:p w14:paraId="28D13185" w14:textId="77777777" w:rsidR="00F31268" w:rsidRPr="00B53E43" w:rsidRDefault="00F31268" w:rsidP="00B53E43">
            <w:pPr>
              <w:spacing w:after="0"/>
              <w:ind w:left="10"/>
              <w:rPr>
                <w:sz w:val="18"/>
                <w:szCs w:val="18"/>
              </w:rPr>
            </w:pPr>
            <w:r w:rsidRPr="00B53E43">
              <w:rPr>
                <w:sz w:val="18"/>
                <w:szCs w:val="18"/>
              </w:rPr>
              <w:t>PTJ/P6/3.3/3.C /MS</w:t>
            </w:r>
          </w:p>
        </w:tc>
        <w:tc>
          <w:tcPr>
            <w:tcW w:w="6411" w:type="dxa"/>
          </w:tcPr>
          <w:p w14:paraId="7C6594A1" w14:textId="77777777" w:rsidR="00F31268" w:rsidRPr="00B53E43" w:rsidRDefault="00F31268" w:rsidP="00B53E43">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B53E43">
              <w:rPr>
                <w:sz w:val="18"/>
                <w:szCs w:val="18"/>
              </w:rPr>
              <w:t xml:space="preserve">Dezvoltarea transportului public verde, PTJ - - Prioritatea 6 </w:t>
            </w:r>
            <w:r w:rsidRPr="00B53E43">
              <w:rPr>
                <w:b/>
                <w:color w:val="266E8B"/>
                <w:sz w:val="18"/>
                <w:szCs w:val="18"/>
              </w:rPr>
              <w:t>Mureș</w:t>
            </w:r>
          </w:p>
        </w:tc>
      </w:tr>
    </w:tbl>
    <w:p w14:paraId="7CC2CDD1" w14:textId="77777777" w:rsidR="00A657B7" w:rsidRDefault="00A657B7">
      <w:pPr>
        <w:ind w:left="0"/>
      </w:pPr>
    </w:p>
    <w:p w14:paraId="585ED29F" w14:textId="77777777" w:rsidR="00A657B7" w:rsidRPr="00B53E43" w:rsidRDefault="00245051">
      <w:pPr>
        <w:ind w:left="0"/>
      </w:pPr>
      <w:r w:rsidRPr="00B53E43">
        <w:t>Prevederile prezentului ghid sunt aplicabile tuturor apelurilor de proiecte de mai sus, cu excepțiile/completările expres menționate în cadrul prezentului ghid, în funcție de specificitatea teritoriului de tranziție justă și/sau ITI Valea Jiului</w:t>
      </w:r>
    </w:p>
    <w:p w14:paraId="48C2F5CD" w14:textId="77777777" w:rsidR="00A657B7" w:rsidRDefault="00245051">
      <w:pPr>
        <w:pStyle w:val="Heading2"/>
        <w:numPr>
          <w:ilvl w:val="1"/>
          <w:numId w:val="3"/>
        </w:numPr>
      </w:pPr>
      <w:bookmarkStart w:id="34" w:name="_Toc143499294"/>
      <w:bookmarkStart w:id="35" w:name="_Toc213405533"/>
      <w:r>
        <w:lastRenderedPageBreak/>
        <w:t>Forma de sprijin (granturi; instrumentele financiare; premii)</w:t>
      </w:r>
      <w:bookmarkEnd w:id="34"/>
      <w:bookmarkEnd w:id="35"/>
    </w:p>
    <w:p w14:paraId="7A5CA3B8" w14:textId="0BB22378" w:rsidR="00A657B7" w:rsidRDefault="00245051">
      <w:pPr>
        <w:spacing w:after="0"/>
        <w:ind w:left="0"/>
      </w:pPr>
      <w:r>
        <w:rPr>
          <w:rFonts w:eastAsia="SimSun"/>
        </w:rPr>
        <w:t xml:space="preserve">În cadrul prezentului ghid, forma de sprijin acordată conform art. 52 și art. 53, alin. (1), lit. (a) din Regulamentul UE 1060/2021, cu modificările și completările ulterioare este grantul sub forma </w:t>
      </w:r>
      <w:r>
        <w:t xml:space="preserve">rambursării costurilor eligibile suportate efectiv de beneficiar și plătite pentru implementarea proiectului. </w:t>
      </w:r>
    </w:p>
    <w:p w14:paraId="4F01B969" w14:textId="77777777" w:rsidR="00A657B7" w:rsidRDefault="00A657B7">
      <w:pPr>
        <w:spacing w:after="0"/>
        <w:ind w:left="0"/>
      </w:pPr>
    </w:p>
    <w:p w14:paraId="1032DCD2" w14:textId="77777777" w:rsidR="00A657B7" w:rsidRDefault="00245051">
      <w:pPr>
        <w:pStyle w:val="Heading2"/>
        <w:numPr>
          <w:ilvl w:val="1"/>
          <w:numId w:val="3"/>
        </w:numPr>
      </w:pPr>
      <w:bookmarkStart w:id="36" w:name="_Toc143499295"/>
      <w:bookmarkStart w:id="37" w:name="_Toc213405534"/>
      <w:r>
        <w:t>Bugetul alocat apelului de proiecte</w:t>
      </w:r>
      <w:bookmarkEnd w:id="36"/>
      <w:bookmarkEnd w:id="37"/>
    </w:p>
    <w:p w14:paraId="0A4E1871" w14:textId="77777777" w:rsidR="00A657B7" w:rsidRDefault="00245051">
      <w:r>
        <w:t>Alocarea financiară orientativă pentru fiecare din apelurile de proiecte ce fac obiectul acestui ghid:</w:t>
      </w:r>
    </w:p>
    <w:p w14:paraId="707FA466" w14:textId="4C0770C9" w:rsidR="00A657B7" w:rsidRDefault="00A657B7"/>
    <w:tbl>
      <w:tblPr>
        <w:tblStyle w:val="TableGrid1"/>
        <w:tblW w:w="0" w:type="auto"/>
        <w:tblLook w:val="04A0" w:firstRow="1" w:lastRow="0" w:firstColumn="1" w:lastColumn="0" w:noHBand="0" w:noVBand="1"/>
      </w:tblPr>
      <w:tblGrid>
        <w:gridCol w:w="3130"/>
        <w:gridCol w:w="3842"/>
        <w:gridCol w:w="2632"/>
      </w:tblGrid>
      <w:tr w:rsidR="00F31268" w:rsidRPr="00761665" w14:paraId="3BF2D06B" w14:textId="77777777" w:rsidTr="00900EB1">
        <w:tc>
          <w:tcPr>
            <w:tcW w:w="3130" w:type="dxa"/>
          </w:tcPr>
          <w:p w14:paraId="31308727" w14:textId="77777777" w:rsidR="00F31268" w:rsidRPr="00761665" w:rsidRDefault="00F31268" w:rsidP="00F31268">
            <w:pPr>
              <w:spacing w:before="0" w:after="0"/>
              <w:ind w:left="0"/>
              <w:rPr>
                <w:rFonts w:eastAsia="SimSun"/>
                <w:b/>
                <w:bCs/>
              </w:rPr>
            </w:pPr>
            <w:r w:rsidRPr="00761665">
              <w:rPr>
                <w:rFonts w:eastAsia="SimSun"/>
                <w:b/>
                <w:bCs/>
              </w:rPr>
              <w:t xml:space="preserve">Tip </w:t>
            </w:r>
            <w:proofErr w:type="spellStart"/>
            <w:r w:rsidRPr="00761665">
              <w:rPr>
                <w:rFonts w:eastAsia="SimSun"/>
                <w:b/>
                <w:bCs/>
              </w:rPr>
              <w:t>apel</w:t>
            </w:r>
            <w:proofErr w:type="spellEnd"/>
          </w:p>
        </w:tc>
        <w:tc>
          <w:tcPr>
            <w:tcW w:w="3842" w:type="dxa"/>
          </w:tcPr>
          <w:p w14:paraId="2DBDA927" w14:textId="77777777" w:rsidR="00F31268" w:rsidRPr="00761665" w:rsidRDefault="00F31268" w:rsidP="00F31268">
            <w:pPr>
              <w:spacing w:before="0" w:after="0"/>
              <w:ind w:left="0"/>
              <w:rPr>
                <w:rFonts w:eastAsia="SimSun"/>
                <w:b/>
                <w:bCs/>
              </w:rPr>
            </w:pPr>
            <w:proofErr w:type="spellStart"/>
            <w:r w:rsidRPr="00761665">
              <w:rPr>
                <w:rFonts w:eastAsia="SimSun"/>
                <w:b/>
                <w:bCs/>
              </w:rPr>
              <w:t>Alocare</w:t>
            </w:r>
            <w:proofErr w:type="spellEnd"/>
            <w:r w:rsidRPr="00761665">
              <w:rPr>
                <w:rFonts w:eastAsia="SimSun"/>
                <w:b/>
                <w:bCs/>
              </w:rPr>
              <w:t xml:space="preserve"> </w:t>
            </w:r>
            <w:proofErr w:type="spellStart"/>
            <w:r w:rsidRPr="00761665">
              <w:rPr>
                <w:rFonts w:eastAsia="SimSun"/>
                <w:b/>
                <w:bCs/>
              </w:rPr>
              <w:t>indicativă</w:t>
            </w:r>
            <w:proofErr w:type="spellEnd"/>
            <w:r w:rsidRPr="00761665">
              <w:rPr>
                <w:rFonts w:eastAsia="SimSun"/>
                <w:b/>
                <w:bCs/>
              </w:rPr>
              <w:t xml:space="preserve"> UE (euro)</w:t>
            </w:r>
          </w:p>
        </w:tc>
        <w:tc>
          <w:tcPr>
            <w:tcW w:w="2632" w:type="dxa"/>
          </w:tcPr>
          <w:p w14:paraId="600F09AB" w14:textId="77777777" w:rsidR="00F31268" w:rsidRPr="00761665" w:rsidRDefault="00F31268" w:rsidP="00F31268">
            <w:pPr>
              <w:spacing w:before="0" w:after="0"/>
              <w:ind w:left="0"/>
              <w:rPr>
                <w:rFonts w:eastAsia="SimSun"/>
                <w:b/>
                <w:bCs/>
              </w:rPr>
            </w:pPr>
            <w:proofErr w:type="spellStart"/>
            <w:r w:rsidRPr="00761665">
              <w:rPr>
                <w:rFonts w:eastAsia="SimSun"/>
                <w:b/>
                <w:bCs/>
              </w:rPr>
              <w:t>Alocare</w:t>
            </w:r>
            <w:proofErr w:type="spellEnd"/>
            <w:r w:rsidRPr="00761665">
              <w:rPr>
                <w:rFonts w:eastAsia="SimSun"/>
                <w:b/>
                <w:bCs/>
              </w:rPr>
              <w:t xml:space="preserve"> UE plus BS</w:t>
            </w:r>
          </w:p>
        </w:tc>
      </w:tr>
      <w:tr w:rsidR="00F31268" w:rsidRPr="00761665" w14:paraId="2E80F441" w14:textId="77777777" w:rsidTr="00900EB1">
        <w:tc>
          <w:tcPr>
            <w:tcW w:w="3130" w:type="dxa"/>
          </w:tcPr>
          <w:p w14:paraId="6D3276E7" w14:textId="77777777" w:rsidR="00F31268" w:rsidRPr="00761665" w:rsidRDefault="00F31268" w:rsidP="00F31268">
            <w:pPr>
              <w:spacing w:before="0" w:after="0"/>
              <w:ind w:left="0"/>
              <w:rPr>
                <w:rFonts w:eastAsia="SimSun"/>
              </w:rPr>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bookmarkStart w:id="38" w:name="_Hlk207971872"/>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bookmarkEnd w:id="38"/>
            <w:proofErr w:type="spellEnd"/>
            <w:r w:rsidRPr="00761665">
              <w:t xml:space="preserve">, PTJ - </w:t>
            </w:r>
            <w:proofErr w:type="spellStart"/>
            <w:r w:rsidRPr="00761665">
              <w:t>Prioritatea</w:t>
            </w:r>
            <w:proofErr w:type="spellEnd"/>
            <w:r w:rsidRPr="00761665">
              <w:t xml:space="preserve"> 1 Gorj  </w:t>
            </w:r>
          </w:p>
        </w:tc>
        <w:tc>
          <w:tcPr>
            <w:tcW w:w="3842" w:type="dxa"/>
          </w:tcPr>
          <w:p w14:paraId="44087A8C" w14:textId="34ADAE21" w:rsidR="00F31268" w:rsidRPr="00761665" w:rsidRDefault="006076B1" w:rsidP="00F31268">
            <w:pPr>
              <w:spacing w:before="0" w:after="0"/>
              <w:ind w:left="0"/>
              <w:rPr>
                <w:rFonts w:eastAsia="SimSun"/>
              </w:rPr>
            </w:pPr>
            <w:r>
              <w:t>32.193.685</w:t>
            </w:r>
          </w:p>
        </w:tc>
        <w:tc>
          <w:tcPr>
            <w:tcW w:w="2632" w:type="dxa"/>
          </w:tcPr>
          <w:p w14:paraId="145225CD" w14:textId="0373FCCD" w:rsidR="00F31268" w:rsidRPr="00761665" w:rsidRDefault="006076B1" w:rsidP="00F31268">
            <w:pPr>
              <w:spacing w:before="0" w:after="0"/>
              <w:ind w:left="0"/>
            </w:pPr>
            <w:r>
              <w:t>37.874.924</w:t>
            </w:r>
          </w:p>
        </w:tc>
      </w:tr>
      <w:tr w:rsidR="00F31268" w:rsidRPr="00761665" w14:paraId="5DB419D7" w14:textId="77777777" w:rsidTr="00900EB1">
        <w:tc>
          <w:tcPr>
            <w:tcW w:w="3130" w:type="dxa"/>
          </w:tcPr>
          <w:p w14:paraId="24271FBB" w14:textId="77777777" w:rsidR="00F31268" w:rsidRPr="00761665" w:rsidRDefault="00F31268" w:rsidP="00F31268">
            <w:pPr>
              <w:spacing w:before="0" w:after="0"/>
              <w:ind w:left="0"/>
              <w:rPr>
                <w:rFonts w:eastAsia="SimSun"/>
              </w:rPr>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proofErr w:type="spellEnd"/>
            <w:r w:rsidRPr="00761665">
              <w:t xml:space="preserve">, PTJ - </w:t>
            </w:r>
            <w:proofErr w:type="spellStart"/>
            <w:r w:rsidRPr="00761665">
              <w:t>Prioritatea</w:t>
            </w:r>
            <w:proofErr w:type="spellEnd"/>
            <w:r w:rsidRPr="00761665">
              <w:t xml:space="preserve"> 2 Hunedoara </w:t>
            </w:r>
          </w:p>
        </w:tc>
        <w:tc>
          <w:tcPr>
            <w:tcW w:w="3842" w:type="dxa"/>
          </w:tcPr>
          <w:p w14:paraId="0BF912AB" w14:textId="38CD4F44" w:rsidR="00F31268" w:rsidRPr="00761665" w:rsidRDefault="006076B1" w:rsidP="00F31268">
            <w:pPr>
              <w:spacing w:before="0" w:after="0"/>
              <w:ind w:left="0"/>
              <w:rPr>
                <w:rFonts w:eastAsia="SimSun"/>
              </w:rPr>
            </w:pPr>
            <w:r>
              <w:t>30.975.883</w:t>
            </w:r>
          </w:p>
        </w:tc>
        <w:tc>
          <w:tcPr>
            <w:tcW w:w="2632" w:type="dxa"/>
          </w:tcPr>
          <w:p w14:paraId="6D4DD367" w14:textId="01B29F54" w:rsidR="00F31268" w:rsidRPr="00761665" w:rsidRDefault="006076B1" w:rsidP="00F31268">
            <w:pPr>
              <w:spacing w:before="0" w:after="0"/>
              <w:ind w:left="0"/>
              <w:rPr>
                <w:lang w:val="it-IT"/>
              </w:rPr>
            </w:pPr>
            <w:r>
              <w:rPr>
                <w:lang w:val="it-IT"/>
              </w:rPr>
              <w:t>36.442.216</w:t>
            </w:r>
            <w:r w:rsidR="00F31268" w:rsidRPr="00761665">
              <w:rPr>
                <w:lang w:val="it-IT"/>
              </w:rPr>
              <w:t xml:space="preserve"> din care ITI Valea Jiului 35% echivalent</w:t>
            </w:r>
          </w:p>
        </w:tc>
      </w:tr>
      <w:tr w:rsidR="00F31268" w:rsidRPr="00761665" w14:paraId="44718CC7" w14:textId="77777777" w:rsidTr="00900EB1">
        <w:tc>
          <w:tcPr>
            <w:tcW w:w="3130" w:type="dxa"/>
          </w:tcPr>
          <w:p w14:paraId="61503E05" w14:textId="77777777" w:rsidR="00F31268" w:rsidRPr="00761665" w:rsidRDefault="00F31268" w:rsidP="00F31268">
            <w:pPr>
              <w:spacing w:before="0" w:after="0"/>
              <w:ind w:left="0"/>
              <w:rPr>
                <w:rFonts w:eastAsia="SimSun"/>
                <w:lang w:val="it-IT"/>
              </w:rPr>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proofErr w:type="spellEnd"/>
            <w:r w:rsidRPr="00761665">
              <w:t xml:space="preserve">, PTJ - </w:t>
            </w:r>
            <w:proofErr w:type="spellStart"/>
            <w:r w:rsidRPr="00761665">
              <w:t>Prioritatea</w:t>
            </w:r>
            <w:proofErr w:type="spellEnd"/>
            <w:r w:rsidRPr="00761665">
              <w:t xml:space="preserve"> 3 Dolj </w:t>
            </w:r>
          </w:p>
        </w:tc>
        <w:tc>
          <w:tcPr>
            <w:tcW w:w="3842" w:type="dxa"/>
          </w:tcPr>
          <w:p w14:paraId="5E683BC1" w14:textId="2962388C" w:rsidR="00F31268" w:rsidRPr="00761665" w:rsidRDefault="006076B1" w:rsidP="00F31268">
            <w:pPr>
              <w:spacing w:before="0" w:after="0"/>
              <w:ind w:left="0"/>
              <w:rPr>
                <w:rFonts w:eastAsia="SimSun"/>
              </w:rPr>
            </w:pPr>
            <w:r>
              <w:t>25.948.547</w:t>
            </w:r>
          </w:p>
        </w:tc>
        <w:tc>
          <w:tcPr>
            <w:tcW w:w="2632" w:type="dxa"/>
          </w:tcPr>
          <w:p w14:paraId="5FC93134" w14:textId="186BA85F" w:rsidR="00F31268" w:rsidRPr="00761665" w:rsidRDefault="006076B1" w:rsidP="00F31268">
            <w:pPr>
              <w:spacing w:before="0" w:after="0"/>
              <w:ind w:left="0"/>
            </w:pPr>
            <w:r>
              <w:t>30.527.703</w:t>
            </w:r>
          </w:p>
        </w:tc>
      </w:tr>
      <w:tr w:rsidR="00F31268" w:rsidRPr="00761665" w14:paraId="1B641993" w14:textId="77777777" w:rsidTr="00900EB1">
        <w:tc>
          <w:tcPr>
            <w:tcW w:w="3130" w:type="dxa"/>
          </w:tcPr>
          <w:p w14:paraId="533295EB" w14:textId="77777777" w:rsidR="00F31268" w:rsidRPr="00761665" w:rsidRDefault="00F31268" w:rsidP="00F31268">
            <w:pPr>
              <w:spacing w:before="0" w:after="0"/>
              <w:ind w:left="0"/>
              <w:rPr>
                <w:rFonts w:eastAsia="SimSun"/>
              </w:rPr>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proofErr w:type="spellEnd"/>
            <w:r w:rsidRPr="00761665">
              <w:t xml:space="preserve">, PTJ - </w:t>
            </w:r>
            <w:proofErr w:type="spellStart"/>
            <w:r w:rsidRPr="00761665">
              <w:t>Prioritatea</w:t>
            </w:r>
            <w:proofErr w:type="spellEnd"/>
            <w:r w:rsidRPr="00761665">
              <w:t xml:space="preserve"> 4 </w:t>
            </w:r>
            <w:proofErr w:type="spellStart"/>
            <w:r w:rsidRPr="00761665">
              <w:t>Galați</w:t>
            </w:r>
            <w:proofErr w:type="spellEnd"/>
            <w:r w:rsidRPr="00761665">
              <w:t xml:space="preserve"> </w:t>
            </w:r>
          </w:p>
        </w:tc>
        <w:tc>
          <w:tcPr>
            <w:tcW w:w="3842" w:type="dxa"/>
          </w:tcPr>
          <w:p w14:paraId="56AE3A3A" w14:textId="464EBDE9" w:rsidR="00F31268" w:rsidRPr="00761665" w:rsidRDefault="006076B1" w:rsidP="00F31268">
            <w:pPr>
              <w:spacing w:before="0" w:after="0"/>
              <w:ind w:left="0"/>
              <w:rPr>
                <w:rFonts w:eastAsia="SimSun"/>
              </w:rPr>
            </w:pPr>
            <w:r>
              <w:t>19.085.141</w:t>
            </w:r>
          </w:p>
        </w:tc>
        <w:tc>
          <w:tcPr>
            <w:tcW w:w="2632" w:type="dxa"/>
          </w:tcPr>
          <w:p w14:paraId="74FCA573" w14:textId="40E9193B" w:rsidR="00F31268" w:rsidRPr="00761665" w:rsidRDefault="006076B1" w:rsidP="00F31268">
            <w:pPr>
              <w:spacing w:before="0" w:after="0"/>
              <w:ind w:left="0"/>
            </w:pPr>
            <w:r>
              <w:t>22.453.10</w:t>
            </w:r>
            <w:r w:rsidR="00787F56">
              <w:t>8</w:t>
            </w:r>
          </w:p>
        </w:tc>
      </w:tr>
      <w:tr w:rsidR="00F31268" w:rsidRPr="00761665" w14:paraId="3B5C200C" w14:textId="77777777" w:rsidTr="00900EB1">
        <w:tc>
          <w:tcPr>
            <w:tcW w:w="3130" w:type="dxa"/>
          </w:tcPr>
          <w:p w14:paraId="6A35EC59" w14:textId="77777777" w:rsidR="00F31268" w:rsidRPr="00761665" w:rsidRDefault="00F31268" w:rsidP="00F31268">
            <w:pPr>
              <w:spacing w:before="0" w:after="0"/>
              <w:ind w:left="0"/>
              <w:rPr>
                <w:rFonts w:eastAsia="SimSun"/>
              </w:rPr>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proofErr w:type="spellEnd"/>
            <w:r w:rsidRPr="00761665">
              <w:t xml:space="preserve">, PTJ - </w:t>
            </w:r>
            <w:proofErr w:type="spellStart"/>
            <w:r w:rsidRPr="00761665">
              <w:t>Prioritatea</w:t>
            </w:r>
            <w:proofErr w:type="spellEnd"/>
            <w:r w:rsidRPr="00761665">
              <w:t xml:space="preserve"> 5 Prahova </w:t>
            </w:r>
          </w:p>
        </w:tc>
        <w:tc>
          <w:tcPr>
            <w:tcW w:w="3842" w:type="dxa"/>
          </w:tcPr>
          <w:p w14:paraId="31B90B44" w14:textId="141D1A2A" w:rsidR="00F31268" w:rsidRPr="00761665" w:rsidRDefault="006076B1" w:rsidP="00F31268">
            <w:pPr>
              <w:spacing w:before="0" w:after="0"/>
              <w:ind w:left="0"/>
              <w:rPr>
                <w:rFonts w:eastAsia="SimSun"/>
              </w:rPr>
            </w:pPr>
            <w:r>
              <w:t>21.033.624</w:t>
            </w:r>
          </w:p>
        </w:tc>
        <w:tc>
          <w:tcPr>
            <w:tcW w:w="2632" w:type="dxa"/>
          </w:tcPr>
          <w:p w14:paraId="22F20FFD" w14:textId="5F67C0B9" w:rsidR="00F31268" w:rsidRPr="00761665" w:rsidRDefault="006076B1" w:rsidP="00F31268">
            <w:pPr>
              <w:spacing w:before="0" w:after="0"/>
              <w:ind w:left="0"/>
            </w:pPr>
            <w:r>
              <w:t>24.745.44</w:t>
            </w:r>
            <w:r w:rsidR="00787F56">
              <w:t>1</w:t>
            </w:r>
          </w:p>
        </w:tc>
      </w:tr>
      <w:tr w:rsidR="00F31268" w:rsidRPr="00F31268" w14:paraId="104558A5" w14:textId="77777777" w:rsidTr="00900EB1">
        <w:tc>
          <w:tcPr>
            <w:tcW w:w="3130" w:type="dxa"/>
          </w:tcPr>
          <w:p w14:paraId="58463C9B" w14:textId="77777777" w:rsidR="00F31268" w:rsidRPr="00761665" w:rsidRDefault="00F31268" w:rsidP="00F31268">
            <w:pPr>
              <w:spacing w:before="0" w:after="0"/>
              <w:ind w:left="0"/>
            </w:pPr>
            <w:proofErr w:type="spellStart"/>
            <w:r w:rsidRPr="00761665">
              <w:t>Sprijin</w:t>
            </w:r>
            <w:proofErr w:type="spellEnd"/>
            <w:r w:rsidRPr="00761665">
              <w:t xml:space="preserve"> </w:t>
            </w:r>
            <w:proofErr w:type="spellStart"/>
            <w:r w:rsidRPr="00761665">
              <w:t>capacități</w:t>
            </w:r>
            <w:proofErr w:type="spellEnd"/>
            <w:r w:rsidRPr="00761665">
              <w:t xml:space="preserve"> SRE pt UAT - </w:t>
            </w:r>
            <w:proofErr w:type="spellStart"/>
            <w:r w:rsidRPr="00761665">
              <w:t>Dezvoltarea</w:t>
            </w:r>
            <w:proofErr w:type="spellEnd"/>
            <w:r w:rsidRPr="00761665">
              <w:t xml:space="preserve"> </w:t>
            </w:r>
            <w:proofErr w:type="spellStart"/>
            <w:r w:rsidRPr="00761665">
              <w:t>viitoarelor</w:t>
            </w:r>
            <w:proofErr w:type="spellEnd"/>
            <w:r w:rsidRPr="00761665">
              <w:t xml:space="preserve"> </w:t>
            </w:r>
            <w:proofErr w:type="spellStart"/>
            <w:r w:rsidRPr="00761665">
              <w:t>comunități</w:t>
            </w:r>
            <w:proofErr w:type="spellEnd"/>
            <w:r w:rsidRPr="00761665">
              <w:t xml:space="preserve"> de </w:t>
            </w:r>
            <w:proofErr w:type="spellStart"/>
            <w:r w:rsidRPr="00761665">
              <w:t>energie</w:t>
            </w:r>
            <w:proofErr w:type="spellEnd"/>
            <w:r w:rsidRPr="00761665">
              <w:t xml:space="preserve">, PTJ - </w:t>
            </w:r>
            <w:proofErr w:type="spellStart"/>
            <w:r w:rsidRPr="00761665">
              <w:t>Prioritatea</w:t>
            </w:r>
            <w:proofErr w:type="spellEnd"/>
            <w:r w:rsidRPr="00761665">
              <w:t xml:space="preserve"> 6 Mureș </w:t>
            </w:r>
          </w:p>
        </w:tc>
        <w:tc>
          <w:tcPr>
            <w:tcW w:w="3842" w:type="dxa"/>
          </w:tcPr>
          <w:p w14:paraId="198FF4C1" w14:textId="5AE0795D" w:rsidR="00F31268" w:rsidRPr="00761665" w:rsidRDefault="006076B1" w:rsidP="00F31268">
            <w:pPr>
              <w:spacing w:before="0" w:after="0"/>
              <w:ind w:left="0"/>
            </w:pPr>
            <w:r>
              <w:t>15.263.116</w:t>
            </w:r>
          </w:p>
        </w:tc>
        <w:tc>
          <w:tcPr>
            <w:tcW w:w="2632" w:type="dxa"/>
          </w:tcPr>
          <w:p w14:paraId="42AD5FE9" w14:textId="03A514A2" w:rsidR="00F31268" w:rsidRPr="00F31268" w:rsidRDefault="006076B1" w:rsidP="00F31268">
            <w:pPr>
              <w:spacing w:before="0" w:after="0"/>
              <w:ind w:left="0"/>
            </w:pPr>
            <w:r>
              <w:t>17.956.608</w:t>
            </w:r>
          </w:p>
        </w:tc>
      </w:tr>
    </w:tbl>
    <w:p w14:paraId="23AF1462" w14:textId="77777777" w:rsidR="00A657B7" w:rsidRDefault="00A657B7">
      <w:pPr>
        <w:rPr>
          <w:color w:val="FF0000"/>
        </w:rPr>
      </w:pPr>
    </w:p>
    <w:p w14:paraId="6E6F292B" w14:textId="77777777" w:rsidR="00F31268" w:rsidRDefault="00F31268" w:rsidP="00F31268">
      <w:pPr>
        <w:ind w:left="0"/>
      </w:pPr>
      <w:r>
        <w:t>Alocările sunt compuse din contribuția Fondului pentru Tranziție Justă (85%) și contribuția de la Bugetul de stat (15%). Alocarea în euro a apelului de proiecte se transformă în lei pentru introducerea datelor în MySMIS 2021 la cursul InforEuro din luna anterioară deschiderii apelului de proiecte.</w:t>
      </w:r>
    </w:p>
    <w:p w14:paraId="398B3A6D" w14:textId="77777777" w:rsidR="00F31268" w:rsidRDefault="00F31268" w:rsidP="00F31268">
      <w:pPr>
        <w:ind w:left="0"/>
      </w:pPr>
      <w:r>
        <w:t>Beneficiarii vor asigura din bugetele proprii o cofinanțare de minim 2% din valoarea cheltuielilor eligibile.</w:t>
      </w:r>
    </w:p>
    <w:p w14:paraId="2D4D3F57" w14:textId="77777777" w:rsidR="00F31268" w:rsidRDefault="00F31268" w:rsidP="00F31268">
      <w:pPr>
        <w:ind w:left="0"/>
      </w:pPr>
    </w:p>
    <w:p w14:paraId="0783BAFC" w14:textId="77777777" w:rsidR="00F31268" w:rsidRDefault="00F31268" w:rsidP="00F31268">
      <w:pPr>
        <w:ind w:left="0"/>
      </w:pPr>
      <w:r>
        <w:t>Alocările indicative de mai sus pot include unul sau mai multe apeluri de proiecte pentru fiecare prioritate în parte, cu obiectivul ” Energie verde accesibilă și mobilitate nepoluantă – componenta „Dezvoltarea de mici capacități de producție de energie din surse regenerabile pentru autoconsum, în vederea creării comunităților de energie”, în limitele prevăzute de ghidul solicitantului, inclusiv în cazul relansării apelurilor de proiecte pentru diferența rămasă disponibilă.</w:t>
      </w:r>
    </w:p>
    <w:p w14:paraId="63A908DF" w14:textId="77777777" w:rsidR="00F31268" w:rsidRDefault="00F31268" w:rsidP="00F31268">
      <w:pPr>
        <w:ind w:left="0"/>
      </w:pPr>
    </w:p>
    <w:p w14:paraId="399B9D29" w14:textId="66C63D1C" w:rsidR="00A657B7" w:rsidRDefault="00F31268" w:rsidP="00F31268">
      <w:pPr>
        <w:ind w:left="0"/>
      </w:pPr>
      <w:r>
        <w:t>În conformitate cu prevederile art. 186 din Regulamentul (UE) 2024/2509 al Parlamentului European şi al Consiliului, taxa pe valoarea adăugată (TVA) aferentă cheltuielilor eligibile privind achiziţia - reprezintă cheltuială neeligibilă.</w:t>
      </w:r>
    </w:p>
    <w:p w14:paraId="6752B59A" w14:textId="77777777" w:rsidR="00F31268" w:rsidRDefault="00F31268" w:rsidP="00F31268">
      <w:pPr>
        <w:ind w:left="0"/>
      </w:pPr>
    </w:p>
    <w:p w14:paraId="11C826EE" w14:textId="77777777" w:rsidR="00F31268" w:rsidRDefault="00F31268" w:rsidP="00F31268">
      <w:pPr>
        <w:ind w:left="0"/>
      </w:pPr>
      <w:r>
        <w:t>Atenție!</w:t>
      </w:r>
    </w:p>
    <w:p w14:paraId="36271FB2" w14:textId="468A2293" w:rsidR="00F31268" w:rsidRDefault="00F31268" w:rsidP="00F31268">
      <w:pPr>
        <w:ind w:left="0"/>
      </w:pPr>
      <w:r>
        <w:t>Alocările indicative de mai sus pot suferi modificări în urma aprobării de către CM PTJ a metodologiei de stabilire a criteriilor de selecție și evaluare și a alocărilor pentru aceste apeluri de proiecte.</w:t>
      </w:r>
    </w:p>
    <w:p w14:paraId="21E8F18F" w14:textId="77777777" w:rsidR="00A657B7" w:rsidRDefault="00245051">
      <w:pPr>
        <w:pStyle w:val="Heading2"/>
        <w:numPr>
          <w:ilvl w:val="1"/>
          <w:numId w:val="3"/>
        </w:numPr>
      </w:pPr>
      <w:bookmarkStart w:id="39" w:name="_Toc143499296"/>
      <w:bookmarkStart w:id="40" w:name="_Toc213405535"/>
      <w:r>
        <w:lastRenderedPageBreak/>
        <w:t>Rata de cofinanțare</w:t>
      </w:r>
      <w:bookmarkEnd w:id="39"/>
      <w:bookmarkEnd w:id="40"/>
    </w:p>
    <w:p w14:paraId="29BC27EB" w14:textId="77777777" w:rsidR="00F31268" w:rsidRDefault="00F31268" w:rsidP="00F31268">
      <w:pPr>
        <w:ind w:left="0"/>
      </w:pPr>
      <w:bookmarkStart w:id="41" w:name="_Toc143499297"/>
      <w:r w:rsidRPr="001A4C3F">
        <w:t xml:space="preserve">Valoarea contribuției eligibile a beneficiarului </w:t>
      </w:r>
      <w:r>
        <w:t>de minim 2% din valoarea cheltuielilor eligibile.</w:t>
      </w:r>
    </w:p>
    <w:p w14:paraId="32542821" w14:textId="77777777" w:rsidR="00F31268" w:rsidRDefault="00F31268" w:rsidP="00F31268">
      <w:pPr>
        <w:ind w:left="0"/>
      </w:pPr>
      <w:r>
        <w:t>În cazul proiectelor depuse în parteneriat, rata de cofinanțare mai sus-menționată se aplică fiecărui membru al parteneriatului pentru cheltuielile eligibile aferente acestuia, modalitatea de participare a partenerilor la asigurarea cheltuielilor eligibile și neeligibile ale proiectului fiind stabilită în Acordul de parteneriat.</w:t>
      </w:r>
    </w:p>
    <w:p w14:paraId="619457F2" w14:textId="77777777" w:rsidR="00F31268" w:rsidRPr="00E7587F" w:rsidRDefault="00F31268" w:rsidP="00F31268">
      <w:pPr>
        <w:ind w:left="0"/>
      </w:pPr>
      <w:r>
        <w:t>În cazul proiectelor generatoare de venit/profit, solicitantul sau, în cazul parteneriatului, liderul de parteneriat/partenerii, după caz, îşi vor ajusta cota de contribuţie ţinând cont de valoarea profitului estimat - a se vedea secţiunea 3.13 din prezentul ghid.</w:t>
      </w:r>
    </w:p>
    <w:p w14:paraId="5D37497F" w14:textId="62013D5D" w:rsidR="00A657B7" w:rsidRDefault="00245051">
      <w:pPr>
        <w:pStyle w:val="Heading2"/>
        <w:numPr>
          <w:ilvl w:val="1"/>
          <w:numId w:val="3"/>
        </w:numPr>
      </w:pPr>
      <w:bookmarkStart w:id="42" w:name="_Toc213405536"/>
      <w:r>
        <w:t>Zona/zonele geografică(e) vizată(e) de apelul de proiecte</w:t>
      </w:r>
      <w:bookmarkEnd w:id="41"/>
      <w:bookmarkEnd w:id="42"/>
      <w:r>
        <w:t xml:space="preserve"> </w:t>
      </w:r>
    </w:p>
    <w:p w14:paraId="2D0B7DE8" w14:textId="77777777" w:rsidR="00A657B7" w:rsidRDefault="00A657B7"/>
    <w:p w14:paraId="21974C91" w14:textId="5B14DD9F"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pPr>
      <w:r w:rsidRPr="00F31268">
        <w:t>Zona vizată de investițiile asociate apelurilor de proiecte reprezintă teritoriul administrativ al judetelor: Gorj, Hunedoara, Dolj, Galati, Prahova, Mures. Prin excepție, pentru apelul de proiecte pentru județul Hunedoara, zona geografică vizată exclude teritoriul aferent unităților administrativ teritoriale ce fac parte din ITI Valea Jiului, fiind un apel dedicat pentru acesta.</w:t>
      </w:r>
    </w:p>
    <w:p w14:paraId="44610F9F"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pPr>
      <w:r w:rsidRPr="00F31268">
        <w:t xml:space="preserve">De asemenea, </w:t>
      </w:r>
      <w:bookmarkStart w:id="43" w:name="_Hlk163129422"/>
      <w:r w:rsidRPr="00F31268">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43"/>
      <w:r w:rsidRPr="00F31268">
        <w:t xml:space="preserve">. </w:t>
      </w:r>
    </w:p>
    <w:p w14:paraId="359365B7" w14:textId="77777777" w:rsidR="00A657B7" w:rsidRDefault="00A657B7">
      <w:pPr>
        <w:rPr>
          <w:color w:val="FF0000"/>
        </w:rPr>
      </w:pPr>
    </w:p>
    <w:tbl>
      <w:tblPr>
        <w:tblStyle w:val="6"/>
        <w:tblW w:w="1008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070"/>
        <w:gridCol w:w="2700"/>
        <w:gridCol w:w="2790"/>
        <w:gridCol w:w="2520"/>
      </w:tblGrid>
      <w:tr w:rsidR="00F31268" w:rsidRPr="00F31268" w14:paraId="65CED144" w14:textId="77777777" w:rsidTr="00761665">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46915BF0" w14:textId="77777777" w:rsidR="00F31268" w:rsidRPr="00F31268" w:rsidRDefault="00F31268" w:rsidP="00F31268">
            <w:pPr>
              <w:spacing w:after="0"/>
              <w:ind w:left="10"/>
              <w:jc w:val="center"/>
              <w:rPr>
                <w:color w:val="000000"/>
                <w:sz w:val="18"/>
                <w:szCs w:val="18"/>
              </w:rPr>
            </w:pPr>
            <w:r w:rsidRPr="00F31268">
              <w:rPr>
                <w:color w:val="000000"/>
                <w:sz w:val="18"/>
                <w:szCs w:val="18"/>
              </w:rPr>
              <w:t>Cod apel MySMIS</w:t>
            </w:r>
          </w:p>
        </w:tc>
        <w:tc>
          <w:tcPr>
            <w:tcW w:w="2700" w:type="dxa"/>
            <w:vAlign w:val="center"/>
          </w:tcPr>
          <w:p w14:paraId="5180D34A" w14:textId="77777777" w:rsidR="00F31268" w:rsidRPr="00F31268" w:rsidRDefault="00F31268" w:rsidP="00F31268">
            <w:pPr>
              <w:spacing w:after="0"/>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F31268">
              <w:rPr>
                <w:color w:val="000000"/>
                <w:sz w:val="18"/>
                <w:szCs w:val="18"/>
              </w:rPr>
              <w:t xml:space="preserve">Apel </w:t>
            </w:r>
          </w:p>
        </w:tc>
        <w:tc>
          <w:tcPr>
            <w:tcW w:w="2790" w:type="dxa"/>
            <w:vAlign w:val="center"/>
          </w:tcPr>
          <w:p w14:paraId="56369433" w14:textId="77777777" w:rsidR="00F31268" w:rsidRPr="00F31268" w:rsidRDefault="00F31268" w:rsidP="00F31268">
            <w:pPr>
              <w:spacing w:after="0"/>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F31268">
              <w:rPr>
                <w:color w:val="000000"/>
                <w:sz w:val="18"/>
                <w:szCs w:val="18"/>
              </w:rPr>
              <w:t>Regiunile NUTS (nomenclatorul comun al unităților teritoriale de statistică) acoperite de apel</w:t>
            </w:r>
          </w:p>
        </w:tc>
        <w:tc>
          <w:tcPr>
            <w:tcW w:w="2520" w:type="dxa"/>
          </w:tcPr>
          <w:p w14:paraId="06E04BF6" w14:textId="77777777" w:rsidR="00F31268" w:rsidRPr="00F31268" w:rsidRDefault="00F31268" w:rsidP="00F31268">
            <w:pPr>
              <w:spacing w:after="0"/>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F31268">
              <w:rPr>
                <w:color w:val="000000"/>
                <w:sz w:val="18"/>
                <w:szCs w:val="18"/>
              </w:rPr>
              <w:t>Zone vizate prioritar de apelul de proiecte conform PTJ 2021-2027</w:t>
            </w:r>
          </w:p>
        </w:tc>
      </w:tr>
      <w:tr w:rsidR="00F31268" w:rsidRPr="00F31268" w14:paraId="51ED812A" w14:textId="77777777" w:rsidTr="00761665">
        <w:trPr>
          <w:cnfStyle w:val="000000100000" w:firstRow="0" w:lastRow="0" w:firstColumn="0" w:lastColumn="0" w:oddVBand="0" w:evenVBand="0" w:oddHBand="1" w:evenHBand="0" w:firstRowFirstColumn="0" w:firstRowLastColumn="0" w:lastRowFirstColumn="0" w:lastRowLastColumn="0"/>
          <w:trHeight w:val="1327"/>
        </w:trPr>
        <w:tc>
          <w:tcPr>
            <w:cnfStyle w:val="001000000000" w:firstRow="0" w:lastRow="0" w:firstColumn="1" w:lastColumn="0" w:oddVBand="0" w:evenVBand="0" w:oddHBand="0" w:evenHBand="0" w:firstRowFirstColumn="0" w:firstRowLastColumn="0" w:lastRowFirstColumn="0" w:lastRowLastColumn="0"/>
            <w:tcW w:w="2070" w:type="dxa"/>
          </w:tcPr>
          <w:p w14:paraId="4A3F00AF" w14:textId="77777777" w:rsidR="00F31268" w:rsidRPr="00F31268" w:rsidRDefault="00F31268" w:rsidP="00F31268">
            <w:pPr>
              <w:spacing w:after="0"/>
              <w:ind w:left="10"/>
              <w:rPr>
                <w:sz w:val="18"/>
                <w:szCs w:val="18"/>
              </w:rPr>
            </w:pPr>
            <w:r w:rsidRPr="00F31268">
              <w:rPr>
                <w:b w:val="0"/>
                <w:sz w:val="18"/>
                <w:szCs w:val="18"/>
              </w:rPr>
              <w:t>...</w:t>
            </w:r>
          </w:p>
        </w:tc>
        <w:tc>
          <w:tcPr>
            <w:tcW w:w="2700" w:type="dxa"/>
          </w:tcPr>
          <w:p w14:paraId="6E0A1163"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PTJ/P1/3.3/3.C/GJ (Dezvoltarea transportului public verde)</w:t>
            </w:r>
          </w:p>
        </w:tc>
        <w:tc>
          <w:tcPr>
            <w:tcW w:w="2790" w:type="dxa"/>
            <w:vAlign w:val="bottom"/>
          </w:tcPr>
          <w:p w14:paraId="1349FEAD" w14:textId="77777777" w:rsidR="00F31268" w:rsidRPr="00F31268" w:rsidRDefault="00F31268" w:rsidP="00F31268">
            <w:pPr>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Teritoriul unității administrativ teritoriale județ Gorj - </w:t>
            </w:r>
            <w:r w:rsidRPr="00F31268">
              <w:rPr>
                <w:color w:val="000000"/>
                <w:sz w:val="18"/>
                <w:szCs w:val="18"/>
              </w:rPr>
              <w:t>RO412 - Gorj</w:t>
            </w:r>
          </w:p>
        </w:tc>
        <w:tc>
          <w:tcPr>
            <w:tcW w:w="2520" w:type="dxa"/>
          </w:tcPr>
          <w:p w14:paraId="18BBE221" w14:textId="77777777" w:rsidR="00F31268" w:rsidRPr="00F31268" w:rsidRDefault="00F31268"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F31268">
              <w:rPr>
                <w:color w:val="000000"/>
                <w:sz w:val="18"/>
                <w:szCs w:val="18"/>
              </w:rPr>
              <w:t>Bazinul carbonifer Motru-Rovinari, Albeni-Târgu Cărbunești și Schela, cf. studiului Disparități teritoriale în România (2021). De asemenea, sunt vizate prioritar și comunitățile marginalizate identificate în Atlasul comunităților marginalizate disponibil la data lansării apelului de proiecte.</w:t>
            </w:r>
          </w:p>
          <w:p w14:paraId="7ADED710" w14:textId="77777777" w:rsidR="00F31268" w:rsidRPr="00F31268" w:rsidRDefault="00F31268"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tc>
      </w:tr>
      <w:tr w:rsidR="00F31268" w:rsidRPr="00F31268" w14:paraId="6D20B309" w14:textId="77777777" w:rsidTr="00761665">
        <w:trPr>
          <w:trHeight w:val="480"/>
        </w:trPr>
        <w:tc>
          <w:tcPr>
            <w:cnfStyle w:val="001000000000" w:firstRow="0" w:lastRow="0" w:firstColumn="1" w:lastColumn="0" w:oddVBand="0" w:evenVBand="0" w:oddHBand="0" w:evenHBand="0" w:firstRowFirstColumn="0" w:firstRowLastColumn="0" w:lastRowFirstColumn="0" w:lastRowLastColumn="0"/>
            <w:tcW w:w="2070" w:type="dxa"/>
          </w:tcPr>
          <w:p w14:paraId="1F8107F2" w14:textId="77777777" w:rsidR="00F31268" w:rsidRPr="00F31268" w:rsidRDefault="00F31268" w:rsidP="00F31268">
            <w:pPr>
              <w:spacing w:after="0"/>
              <w:ind w:left="10"/>
              <w:rPr>
                <w:sz w:val="18"/>
                <w:szCs w:val="18"/>
              </w:rPr>
            </w:pPr>
            <w:r w:rsidRPr="00F31268">
              <w:rPr>
                <w:b w:val="0"/>
                <w:sz w:val="18"/>
                <w:szCs w:val="18"/>
              </w:rPr>
              <w:t>...</w:t>
            </w:r>
          </w:p>
        </w:tc>
        <w:tc>
          <w:tcPr>
            <w:tcW w:w="2700" w:type="dxa"/>
          </w:tcPr>
          <w:p w14:paraId="341A80AB" w14:textId="1C718321"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 xml:space="preserve">PTJ/P2/3.3/3.C/HD </w:t>
            </w:r>
          </w:p>
        </w:tc>
        <w:tc>
          <w:tcPr>
            <w:tcW w:w="2790" w:type="dxa"/>
            <w:vAlign w:val="bottom"/>
          </w:tcPr>
          <w:p w14:paraId="77C6EAF9" w14:textId="77777777"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 xml:space="preserve">Teritoriul unității administrativ teritoriale județ Hunedoara, </w:t>
            </w:r>
            <w:r w:rsidRPr="00F31268">
              <w:rPr>
                <w:color w:val="000000"/>
                <w:sz w:val="18"/>
                <w:szCs w:val="18"/>
              </w:rPr>
              <w:t>RO423 – Hunedoara</w:t>
            </w:r>
            <w:r w:rsidRPr="00F31268">
              <w:rPr>
                <w:sz w:val="18"/>
                <w:szCs w:val="18"/>
              </w:rPr>
              <w:t xml:space="preserve">, cu excepția teritoriului cuprins in ITI Valea Jiului conform HG 901/13.07.2022 </w:t>
            </w:r>
          </w:p>
        </w:tc>
        <w:tc>
          <w:tcPr>
            <w:tcW w:w="2520" w:type="dxa"/>
          </w:tcPr>
          <w:p w14:paraId="25313DE8" w14:textId="77777777" w:rsidR="00F31268" w:rsidRPr="00F31268" w:rsidRDefault="00F31268" w:rsidP="00F31268">
            <w:pPr>
              <w:spacing w:before="100"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color w:val="000000"/>
                <w:sz w:val="18"/>
                <w:szCs w:val="18"/>
              </w:rPr>
              <w:t>Zonele defavorizate Brad și Hunedoara cf. studiului Disparități teritoriale în România (2021). De asemenea, sunt vizate prioritar și comunitățile marginalizate cf. Atlasului comunităților marginalizate disponibil la data lansării apelului de proiecte.</w:t>
            </w:r>
          </w:p>
        </w:tc>
      </w:tr>
      <w:tr w:rsidR="00F31268" w:rsidRPr="00F31268" w14:paraId="689165EC" w14:textId="77777777" w:rsidTr="00761665">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070" w:type="dxa"/>
          </w:tcPr>
          <w:p w14:paraId="1A816498" w14:textId="77777777" w:rsidR="00F31268" w:rsidRPr="00F31268" w:rsidRDefault="00F31268" w:rsidP="00F31268">
            <w:pPr>
              <w:spacing w:after="0"/>
              <w:ind w:left="10"/>
              <w:rPr>
                <w:sz w:val="18"/>
                <w:szCs w:val="18"/>
              </w:rPr>
            </w:pPr>
          </w:p>
        </w:tc>
        <w:tc>
          <w:tcPr>
            <w:tcW w:w="2700" w:type="dxa"/>
          </w:tcPr>
          <w:p w14:paraId="70FCECAA" w14:textId="49C03CD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PTJ/P2/3.3/3.C/HD/ITI VJ </w:t>
            </w:r>
          </w:p>
        </w:tc>
        <w:tc>
          <w:tcPr>
            <w:tcW w:w="2790" w:type="dxa"/>
            <w:vAlign w:val="bottom"/>
          </w:tcPr>
          <w:p w14:paraId="3210209B"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Orașul Uricani, Municipiul Lupeni, Municipiul Vulcan, Orașul Aninoasa, Municipiul Petroșani, Orașul Petrila, inclusiv satele aparținătoare).</w:t>
            </w:r>
            <w:r w:rsidRPr="00F31268">
              <w:rPr>
                <w:rFonts w:ascii="Verdana" w:hAnsi="Verdana"/>
                <w:color w:val="000000"/>
                <w:sz w:val="18"/>
                <w:szCs w:val="18"/>
                <w:shd w:val="clear" w:color="auto" w:fill="FFFFFF"/>
              </w:rPr>
              <w:t xml:space="preserve"> </w:t>
            </w:r>
          </w:p>
        </w:tc>
        <w:tc>
          <w:tcPr>
            <w:tcW w:w="2520" w:type="dxa"/>
          </w:tcPr>
          <w:p w14:paraId="2FBFB50C" w14:textId="77777777" w:rsidR="00F31268" w:rsidRPr="00F31268" w:rsidRDefault="00F31268" w:rsidP="00F31268">
            <w:pPr>
              <w:spacing w:before="100" w:after="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F31268">
              <w:rPr>
                <w:color w:val="000000"/>
                <w:sz w:val="18"/>
                <w:szCs w:val="18"/>
              </w:rPr>
              <w:t xml:space="preserve">Zonele defavorizate Valea Jiului cf. studiului </w:t>
            </w:r>
            <w:r w:rsidRPr="00F31268">
              <w:rPr>
                <w:i/>
                <w:iCs/>
                <w:color w:val="000000"/>
                <w:sz w:val="18"/>
                <w:szCs w:val="18"/>
              </w:rPr>
              <w:t>Disparități teritoriale în România (2021)</w:t>
            </w:r>
            <w:r w:rsidRPr="00F31268">
              <w:rPr>
                <w:color w:val="000000"/>
                <w:sz w:val="18"/>
                <w:szCs w:val="18"/>
              </w:rPr>
              <w:t>. De asemenea, sunt vizate prioritar și comunitățile marginalizate cf. Atlasului comunităților marginalizate disponibil la data lansării apelului de proiecte.</w:t>
            </w:r>
          </w:p>
        </w:tc>
      </w:tr>
      <w:tr w:rsidR="00F31268" w:rsidRPr="00F31268" w14:paraId="3CA461AE" w14:textId="77777777" w:rsidTr="00761665">
        <w:trPr>
          <w:trHeight w:val="505"/>
        </w:trPr>
        <w:tc>
          <w:tcPr>
            <w:cnfStyle w:val="001000000000" w:firstRow="0" w:lastRow="0" w:firstColumn="1" w:lastColumn="0" w:oddVBand="0" w:evenVBand="0" w:oddHBand="0" w:evenHBand="0" w:firstRowFirstColumn="0" w:firstRowLastColumn="0" w:lastRowFirstColumn="0" w:lastRowLastColumn="0"/>
            <w:tcW w:w="2070" w:type="dxa"/>
          </w:tcPr>
          <w:p w14:paraId="2D000366" w14:textId="77777777" w:rsidR="00F31268" w:rsidRPr="00F31268" w:rsidRDefault="00F31268" w:rsidP="00F31268">
            <w:pPr>
              <w:spacing w:after="0"/>
              <w:ind w:left="10"/>
              <w:rPr>
                <w:sz w:val="18"/>
                <w:szCs w:val="18"/>
              </w:rPr>
            </w:pPr>
            <w:r w:rsidRPr="00F31268">
              <w:rPr>
                <w:b w:val="0"/>
                <w:sz w:val="18"/>
                <w:szCs w:val="18"/>
              </w:rPr>
              <w:lastRenderedPageBreak/>
              <w:t>...</w:t>
            </w:r>
          </w:p>
        </w:tc>
        <w:tc>
          <w:tcPr>
            <w:tcW w:w="2700" w:type="dxa"/>
          </w:tcPr>
          <w:p w14:paraId="748F32C6" w14:textId="6EEAD241"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 xml:space="preserve">PTJ/P3/3.3/3.C/DJ </w:t>
            </w:r>
          </w:p>
        </w:tc>
        <w:tc>
          <w:tcPr>
            <w:tcW w:w="2790" w:type="dxa"/>
            <w:vAlign w:val="bottom"/>
          </w:tcPr>
          <w:p w14:paraId="349BC426" w14:textId="77777777" w:rsidR="00F31268" w:rsidRPr="00F31268" w:rsidRDefault="00F31268" w:rsidP="00F31268">
            <w:pPr>
              <w:spacing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Teritoriul unității administrativ teritoriale județ Dolj -</w:t>
            </w:r>
            <w:r w:rsidRPr="00F31268">
              <w:rPr>
                <w:color w:val="000000"/>
                <w:sz w:val="18"/>
                <w:szCs w:val="18"/>
              </w:rPr>
              <w:t xml:space="preserve"> RO411 - Dolj</w:t>
            </w:r>
          </w:p>
        </w:tc>
        <w:tc>
          <w:tcPr>
            <w:tcW w:w="2520" w:type="dxa"/>
          </w:tcPr>
          <w:p w14:paraId="56C0C723" w14:textId="77777777" w:rsidR="00F31268" w:rsidRPr="00F31268" w:rsidRDefault="00F31268" w:rsidP="00F31268">
            <w:pPr>
              <w:spacing w:after="0"/>
              <w:ind w:left="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r w:rsidR="00F31268" w:rsidRPr="00F31268" w14:paraId="612FDECE" w14:textId="77777777" w:rsidTr="00761665">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070" w:type="dxa"/>
          </w:tcPr>
          <w:p w14:paraId="0944337F" w14:textId="77777777" w:rsidR="00F31268" w:rsidRPr="00F31268" w:rsidRDefault="00F31268" w:rsidP="00F31268">
            <w:pPr>
              <w:spacing w:after="0"/>
              <w:ind w:left="10"/>
              <w:rPr>
                <w:sz w:val="18"/>
                <w:szCs w:val="18"/>
              </w:rPr>
            </w:pPr>
            <w:r w:rsidRPr="00F31268">
              <w:rPr>
                <w:b w:val="0"/>
                <w:sz w:val="18"/>
                <w:szCs w:val="18"/>
              </w:rPr>
              <w:t>...</w:t>
            </w:r>
          </w:p>
        </w:tc>
        <w:tc>
          <w:tcPr>
            <w:tcW w:w="2700" w:type="dxa"/>
          </w:tcPr>
          <w:p w14:paraId="1878361A" w14:textId="4190F2C3"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PTJ/P4/3.3/3.C/GL </w:t>
            </w:r>
          </w:p>
        </w:tc>
        <w:tc>
          <w:tcPr>
            <w:tcW w:w="2790" w:type="dxa"/>
          </w:tcPr>
          <w:p w14:paraId="56C0484E"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Teritoriul unității administrativ teritoriale județ Galați -</w:t>
            </w:r>
            <w:r w:rsidRPr="00F31268">
              <w:rPr>
                <w:color w:val="000000"/>
                <w:sz w:val="18"/>
                <w:szCs w:val="18"/>
              </w:rPr>
              <w:t xml:space="preserve"> RO224 - Galaţi</w:t>
            </w:r>
          </w:p>
        </w:tc>
        <w:tc>
          <w:tcPr>
            <w:tcW w:w="2520" w:type="dxa"/>
          </w:tcPr>
          <w:p w14:paraId="29A2AF68"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r w:rsidR="00F31268" w:rsidRPr="00F31268" w14:paraId="10DC38EE" w14:textId="77777777" w:rsidTr="00761665">
        <w:trPr>
          <w:trHeight w:val="493"/>
        </w:trPr>
        <w:tc>
          <w:tcPr>
            <w:cnfStyle w:val="001000000000" w:firstRow="0" w:lastRow="0" w:firstColumn="1" w:lastColumn="0" w:oddVBand="0" w:evenVBand="0" w:oddHBand="0" w:evenHBand="0" w:firstRowFirstColumn="0" w:firstRowLastColumn="0" w:lastRowFirstColumn="0" w:lastRowLastColumn="0"/>
            <w:tcW w:w="2070" w:type="dxa"/>
          </w:tcPr>
          <w:p w14:paraId="04835D41" w14:textId="77777777" w:rsidR="00F31268" w:rsidRPr="00F31268" w:rsidRDefault="00F31268" w:rsidP="00F31268">
            <w:pPr>
              <w:spacing w:after="0"/>
              <w:ind w:left="10"/>
              <w:rPr>
                <w:sz w:val="18"/>
                <w:szCs w:val="18"/>
              </w:rPr>
            </w:pPr>
            <w:r w:rsidRPr="00F31268">
              <w:rPr>
                <w:b w:val="0"/>
                <w:sz w:val="18"/>
                <w:szCs w:val="18"/>
              </w:rPr>
              <w:t>...</w:t>
            </w:r>
          </w:p>
        </w:tc>
        <w:tc>
          <w:tcPr>
            <w:tcW w:w="2700" w:type="dxa"/>
          </w:tcPr>
          <w:p w14:paraId="3E9D46FA" w14:textId="70BDF316"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 xml:space="preserve">PTJ/P5/3.3/3.C/PH </w:t>
            </w:r>
          </w:p>
        </w:tc>
        <w:tc>
          <w:tcPr>
            <w:tcW w:w="2790" w:type="dxa"/>
          </w:tcPr>
          <w:p w14:paraId="32B8BFC9" w14:textId="77777777"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sz w:val="18"/>
                <w:szCs w:val="18"/>
              </w:rPr>
              <w:t>Teritoriul unității administrativ teritoriale județ Prahova -</w:t>
            </w:r>
            <w:r w:rsidRPr="00F31268">
              <w:rPr>
                <w:color w:val="000000"/>
                <w:sz w:val="18"/>
                <w:szCs w:val="18"/>
              </w:rPr>
              <w:t xml:space="preserve"> RO316 - Prahova</w:t>
            </w:r>
          </w:p>
        </w:tc>
        <w:tc>
          <w:tcPr>
            <w:tcW w:w="2520" w:type="dxa"/>
          </w:tcPr>
          <w:p w14:paraId="74A24920" w14:textId="77777777" w:rsidR="00F31268" w:rsidRPr="00F31268" w:rsidRDefault="00F31268" w:rsidP="00F31268">
            <w:pPr>
              <w:spacing w:after="0"/>
              <w:ind w:left="10"/>
              <w:cnfStyle w:val="000000000000" w:firstRow="0" w:lastRow="0" w:firstColumn="0" w:lastColumn="0" w:oddVBand="0" w:evenVBand="0" w:oddHBand="0" w:evenHBand="0" w:firstRowFirstColumn="0" w:firstRowLastColumn="0" w:lastRowFirstColumn="0" w:lastRowLastColumn="0"/>
              <w:rPr>
                <w:sz w:val="18"/>
                <w:szCs w:val="18"/>
              </w:rPr>
            </w:pPr>
            <w:r w:rsidRPr="00F31268">
              <w:rPr>
                <w:color w:val="000000"/>
                <w:sz w:val="18"/>
                <w:szCs w:val="18"/>
              </w:rPr>
              <w:t>Zonele defavorizate Mizil, Filipești, Ceptura identificate inițial în conformitate cu OUG 24/1998 și, ulterior, conform OUG 75/2000 deși, în prezent, regimul juridic special al acestor zone nu mai este activ.</w:t>
            </w:r>
            <w:r w:rsidRPr="00F31268">
              <w:t xml:space="preserve"> </w:t>
            </w:r>
            <w:r w:rsidRPr="00F31268">
              <w:rPr>
                <w:color w:val="000000"/>
                <w:sz w:val="18"/>
                <w:szCs w:val="18"/>
              </w:rPr>
              <w:t>Sunt vizate prioritar și comunitățile marginalizate identificate la nivelul județului conform versiunii actualizate a Atlasului comunităților marginalizate, disponibil la data lansării apelului de proiecte.</w:t>
            </w:r>
          </w:p>
        </w:tc>
      </w:tr>
      <w:tr w:rsidR="00F31268" w:rsidRPr="00F31268" w14:paraId="2DE5EDE6" w14:textId="77777777" w:rsidTr="00761665">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070" w:type="dxa"/>
          </w:tcPr>
          <w:p w14:paraId="6B80AFF1" w14:textId="77777777" w:rsidR="00F31268" w:rsidRPr="00F31268" w:rsidRDefault="00F31268" w:rsidP="00F31268">
            <w:pPr>
              <w:spacing w:after="0"/>
              <w:ind w:left="10"/>
              <w:rPr>
                <w:sz w:val="18"/>
                <w:szCs w:val="18"/>
              </w:rPr>
            </w:pPr>
            <w:r w:rsidRPr="00F31268">
              <w:rPr>
                <w:b w:val="0"/>
                <w:sz w:val="18"/>
                <w:szCs w:val="18"/>
              </w:rPr>
              <w:t>...</w:t>
            </w:r>
          </w:p>
        </w:tc>
        <w:tc>
          <w:tcPr>
            <w:tcW w:w="2700" w:type="dxa"/>
          </w:tcPr>
          <w:p w14:paraId="42EA9435" w14:textId="42238170"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PTJ/P6/3.3/3.C/MS </w:t>
            </w:r>
          </w:p>
        </w:tc>
        <w:tc>
          <w:tcPr>
            <w:tcW w:w="2790" w:type="dxa"/>
          </w:tcPr>
          <w:p w14:paraId="3C447F35"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 xml:space="preserve">Teritoriul unității administrativ teritoriale județ Mureș - </w:t>
            </w:r>
            <w:r w:rsidRPr="00F31268">
              <w:rPr>
                <w:color w:val="000000"/>
                <w:sz w:val="18"/>
                <w:szCs w:val="18"/>
              </w:rPr>
              <w:t>RO125 - Mureş</w:t>
            </w:r>
          </w:p>
        </w:tc>
        <w:tc>
          <w:tcPr>
            <w:tcW w:w="2520" w:type="dxa"/>
          </w:tcPr>
          <w:p w14:paraId="2AD0F8CF" w14:textId="77777777" w:rsidR="00F31268" w:rsidRPr="00F31268" w:rsidRDefault="00F31268" w:rsidP="00F31268">
            <w:pPr>
              <w:spacing w:after="0"/>
              <w:ind w:left="10"/>
              <w:cnfStyle w:val="000000100000" w:firstRow="0" w:lastRow="0" w:firstColumn="0" w:lastColumn="0" w:oddVBand="0" w:evenVBand="0" w:oddHBand="1" w:evenHBand="0" w:firstRowFirstColumn="0" w:firstRowLastColumn="0" w:lastRowFirstColumn="0" w:lastRowLastColumn="0"/>
              <w:rPr>
                <w:sz w:val="18"/>
                <w:szCs w:val="18"/>
              </w:rPr>
            </w:pPr>
            <w:r w:rsidRPr="00F31268">
              <w:rPr>
                <w:sz w:val="18"/>
                <w:szCs w:val="18"/>
              </w:rPr>
              <w:t>Sunt vizate și comunitățile marginalizate în conformitate cu Atlasul comunităților marginalizate disponibil la data lansării apelului de proiecte.</w:t>
            </w:r>
          </w:p>
        </w:tc>
      </w:tr>
    </w:tbl>
    <w:p w14:paraId="0247311B" w14:textId="77777777" w:rsidR="00A657B7" w:rsidRDefault="00A657B7">
      <w:pPr>
        <w:ind w:left="0"/>
        <w:rPr>
          <w:rFonts w:eastAsia="SimSun"/>
        </w:rPr>
      </w:pPr>
    </w:p>
    <w:p w14:paraId="46C7B849"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rPr>
          <w:rFonts w:eastAsia="SimSun"/>
        </w:rPr>
      </w:pPr>
      <w:r w:rsidRPr="00F31268">
        <w:rPr>
          <w:rFonts w:eastAsia="SimSun"/>
        </w:rPr>
        <w:t>Teritoriile mai sus menționate sunt încadrate în cadrul categoriilor de regiuni mai puțin dezvoltate.</w:t>
      </w:r>
    </w:p>
    <w:p w14:paraId="76F5958B"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ind w:left="0"/>
        <w:rPr>
          <w:rFonts w:eastAsia="SimSun"/>
          <w:b/>
          <w:bCs/>
          <w:color w:val="0070C0"/>
        </w:rPr>
      </w:pPr>
      <w:r w:rsidRPr="00F31268">
        <w:rPr>
          <w:rFonts w:eastAsia="SimSun"/>
          <w:b/>
          <w:bCs/>
          <w:color w:val="0070C0"/>
        </w:rPr>
        <w:t xml:space="preserve">Notă! </w:t>
      </w:r>
    </w:p>
    <w:p w14:paraId="4676EB35"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spacing w:before="0" w:after="0"/>
        <w:ind w:left="0"/>
        <w:rPr>
          <w:rFonts w:eastAsia="SimSun"/>
        </w:rPr>
      </w:pPr>
      <w:r w:rsidRPr="00F31268">
        <w:rPr>
          <w:rFonts w:eastAsia="SimSun"/>
        </w:rPr>
        <w:t xml:space="preserve">Dacă la data deschiderii apelurilor de proiecte in MYSMIS, Atlasul Zonelor Rurale Marginalizate şi al Dezvoltării Umane Locale din România nu este actualizat, proiectul se va analiza pe baza documentului deja existent </w:t>
      </w:r>
    </w:p>
    <w:p w14:paraId="2C7521F9" w14:textId="77777777" w:rsidR="001C0A94" w:rsidRPr="001C0A94" w:rsidRDefault="001C0A94" w:rsidP="001C0A94">
      <w:pPr>
        <w:pBdr>
          <w:top w:val="none" w:sz="0" w:space="0" w:color="auto"/>
          <w:left w:val="none" w:sz="0" w:space="0" w:color="auto"/>
          <w:bottom w:val="none" w:sz="0" w:space="0" w:color="auto"/>
          <w:right w:val="none" w:sz="0" w:space="0" w:color="auto"/>
          <w:between w:val="none" w:sz="0" w:space="0" w:color="auto"/>
        </w:pBdr>
        <w:spacing w:before="0" w:after="160" w:line="256" w:lineRule="auto"/>
        <w:ind w:left="0"/>
        <w:jc w:val="left"/>
        <w:rPr>
          <w:rFonts w:cs="Times New Roman"/>
          <w:kern w:val="2"/>
          <w14:ligatures w14:val="standardContextual"/>
        </w:rPr>
      </w:pPr>
      <w:hyperlink r:id="rId9" w:history="1">
        <w:r w:rsidRPr="001C0A94">
          <w:rPr>
            <w:rFonts w:cs="Times New Roman"/>
            <w:color w:val="0563C1"/>
            <w:kern w:val="2"/>
            <w:u w:val="single"/>
            <w14:ligatures w14:val="standardContextual"/>
          </w:rPr>
          <w:t>https://mmuncii.gov.ro/wp-content/uploads/2025/10/F6_Atlas_Rural_RO_23Mar2016.pdf</w:t>
        </w:r>
      </w:hyperlink>
    </w:p>
    <w:p w14:paraId="7DAE9497" w14:textId="77777777" w:rsidR="00F31268" w:rsidRPr="00F31268" w:rsidRDefault="00F31268" w:rsidP="00F31268">
      <w:pPr>
        <w:pBdr>
          <w:top w:val="none" w:sz="0" w:space="0" w:color="auto"/>
          <w:left w:val="none" w:sz="0" w:space="0" w:color="auto"/>
          <w:bottom w:val="none" w:sz="0" w:space="0" w:color="auto"/>
          <w:right w:val="none" w:sz="0" w:space="0" w:color="auto"/>
          <w:between w:val="none" w:sz="0" w:space="0" w:color="auto"/>
        </w:pBdr>
        <w:spacing w:before="0" w:after="0"/>
        <w:ind w:left="0"/>
        <w:rPr>
          <w:rFonts w:eastAsia="SimSun"/>
        </w:rPr>
      </w:pPr>
    </w:p>
    <w:p w14:paraId="50927ADF" w14:textId="2D876D9A" w:rsidR="00F31268" w:rsidRDefault="00F31268" w:rsidP="00F31268">
      <w:pPr>
        <w:ind w:left="0"/>
        <w:rPr>
          <w:rFonts w:eastAsia="SimSun"/>
        </w:rPr>
      </w:pPr>
      <w:r w:rsidRPr="00F31268">
        <w:rPr>
          <w:rFonts w:eastAsia="SimSun"/>
        </w:rPr>
        <w:t>De asemenea, dacă la data deschiderii apelului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3398E0" w14:textId="77777777" w:rsidR="00A657B7" w:rsidRDefault="00A657B7">
      <w:pPr>
        <w:ind w:left="0"/>
        <w:rPr>
          <w:color w:val="FF0000"/>
        </w:rPr>
      </w:pPr>
    </w:p>
    <w:p w14:paraId="567C8877" w14:textId="77777777" w:rsidR="00A657B7" w:rsidRDefault="00245051">
      <w:pPr>
        <w:pStyle w:val="Heading2"/>
        <w:numPr>
          <w:ilvl w:val="1"/>
          <w:numId w:val="3"/>
        </w:numPr>
      </w:pPr>
      <w:bookmarkStart w:id="44" w:name="_Toc143499298"/>
      <w:bookmarkStart w:id="45" w:name="_Toc213405537"/>
      <w:r>
        <w:t>Acțiuni sprijinite în cadrul apelului</w:t>
      </w:r>
      <w:bookmarkEnd w:id="44"/>
      <w:bookmarkEnd w:id="45"/>
      <w:r>
        <w:t xml:space="preserve"> </w:t>
      </w:r>
    </w:p>
    <w:p w14:paraId="0D61F4AB" w14:textId="18323224" w:rsidR="001C0A94" w:rsidRPr="009974B3" w:rsidRDefault="001C0A94" w:rsidP="001C0A94">
      <w:pPr>
        <w:rPr>
          <w:lang w:val="pt-PT"/>
        </w:rPr>
      </w:pPr>
      <w:bookmarkStart w:id="46" w:name="_heading=h.4i7ojhp"/>
      <w:bookmarkEnd w:id="46"/>
      <w:r>
        <w:rPr>
          <w:lang w:val="pt-PT"/>
        </w:rPr>
        <w:t>a)</w:t>
      </w:r>
      <w:r w:rsidRPr="009974B3">
        <w:rPr>
          <w:lang w:val="pt-PT"/>
        </w:rPr>
        <w:t>.</w:t>
      </w:r>
      <w:r w:rsidRPr="009974B3">
        <w:rPr>
          <w:lang w:val="pt-PT"/>
        </w:rPr>
        <w:tab/>
        <w:t>Realizarea capacităţilor de producere energie electrică sau termică din SRE, cu excepția biomasei, pentru consum propriu</w:t>
      </w:r>
      <w:r>
        <w:rPr>
          <w:lang w:val="pt-PT"/>
        </w:rPr>
        <w:t xml:space="preserve">, </w:t>
      </w:r>
    </w:p>
    <w:p w14:paraId="01F3F966" w14:textId="58BA3F08" w:rsidR="001C0A94" w:rsidRDefault="001C0A94" w:rsidP="001C0A94">
      <w:pPr>
        <w:rPr>
          <w:lang w:val="pt-PT"/>
        </w:rPr>
      </w:pPr>
      <w:r>
        <w:rPr>
          <w:lang w:val="pt-PT"/>
        </w:rPr>
        <w:t>b)</w:t>
      </w:r>
      <w:r w:rsidRPr="009974B3">
        <w:rPr>
          <w:lang w:val="pt-PT"/>
        </w:rPr>
        <w:t>.</w:t>
      </w:r>
      <w:r w:rsidRPr="009974B3">
        <w:rPr>
          <w:lang w:val="pt-PT"/>
        </w:rPr>
        <w:tab/>
        <w:t>Realizarea capacităţilor de producere energie electrică şi termică în cogenerare</w:t>
      </w:r>
      <w:r>
        <w:rPr>
          <w:lang w:val="pt-PT"/>
        </w:rPr>
        <w:t xml:space="preserve">/ cogenerare </w:t>
      </w:r>
      <w:r w:rsidRPr="00BB4301">
        <w:rPr>
          <w:lang w:val="pt-PT"/>
        </w:rPr>
        <w:t>de  înaltă eficiență</w:t>
      </w:r>
      <w:r w:rsidRPr="009974B3">
        <w:rPr>
          <w:lang w:val="pt-PT"/>
        </w:rPr>
        <w:t xml:space="preserve"> din</w:t>
      </w:r>
      <w:r>
        <w:rPr>
          <w:lang w:val="pt-PT"/>
        </w:rPr>
        <w:t xml:space="preserve"> surse regenerabile de energie</w:t>
      </w:r>
      <w:r w:rsidRPr="009974B3">
        <w:rPr>
          <w:lang w:val="pt-PT"/>
        </w:rPr>
        <w:t xml:space="preserve"> </w:t>
      </w:r>
      <w:r>
        <w:rPr>
          <w:lang w:val="pt-PT"/>
        </w:rPr>
        <w:t>(</w:t>
      </w:r>
      <w:r w:rsidRPr="009974B3">
        <w:rPr>
          <w:lang w:val="pt-PT"/>
        </w:rPr>
        <w:t>SRE</w:t>
      </w:r>
      <w:r>
        <w:rPr>
          <w:lang w:val="pt-PT"/>
        </w:rPr>
        <w:t>)</w:t>
      </w:r>
      <w:r w:rsidRPr="009974B3">
        <w:rPr>
          <w:lang w:val="pt-PT"/>
        </w:rPr>
        <w:t>, cu excepția biomasei,</w:t>
      </w:r>
      <w:r>
        <w:rPr>
          <w:lang w:val="pt-PT"/>
        </w:rPr>
        <w:t xml:space="preserve"> </w:t>
      </w:r>
      <w:r w:rsidRPr="009974B3">
        <w:rPr>
          <w:lang w:val="pt-PT"/>
        </w:rPr>
        <w:t>pentru consum propriu</w:t>
      </w:r>
      <w:r>
        <w:rPr>
          <w:lang w:val="pt-PT"/>
        </w:rPr>
        <w:t xml:space="preserve">, </w:t>
      </w:r>
    </w:p>
    <w:p w14:paraId="0568C812" w14:textId="5A6A8E8C" w:rsidR="00E02F88" w:rsidRPr="009974B3" w:rsidRDefault="00E02F88" w:rsidP="001C0A94">
      <w:pPr>
        <w:rPr>
          <w:lang w:val="pt-PT"/>
        </w:rPr>
      </w:pPr>
      <w:r>
        <w:rPr>
          <w:lang w:val="pt-PT"/>
        </w:rPr>
        <w:t>c) realizarea capacităților de stocare.</w:t>
      </w:r>
    </w:p>
    <w:p w14:paraId="07B37727" w14:textId="77777777" w:rsidR="001C0A94" w:rsidRDefault="001C0A94" w:rsidP="001C0A94">
      <w:pPr>
        <w:rPr>
          <w:lang w:val="pt-PT"/>
        </w:rPr>
      </w:pPr>
      <w:r>
        <w:rPr>
          <w:lang w:val="pt-PT"/>
        </w:rPr>
        <w:tab/>
      </w:r>
    </w:p>
    <w:p w14:paraId="0AEED662" w14:textId="77777777" w:rsidR="001C0A94" w:rsidRPr="0037091C" w:rsidRDefault="001C0A94" w:rsidP="001C0A94">
      <w:pPr>
        <w:rPr>
          <w:lang w:val="it-IT"/>
        </w:rPr>
      </w:pPr>
      <w:r>
        <w:rPr>
          <w:lang w:val="pt-PT"/>
        </w:rPr>
        <w:lastRenderedPageBreak/>
        <w:t xml:space="preserve">Proiectele se vor structura în două tipuri de acțiuni, conform prevederilor </w:t>
      </w:r>
      <w:r w:rsidRPr="00EE40A0">
        <w:rPr>
          <w:lang w:val="pt-PT"/>
        </w:rPr>
        <w:t>din prezenta</w:t>
      </w:r>
      <w:r>
        <w:rPr>
          <w:lang w:val="pt-PT"/>
        </w:rPr>
        <w:t xml:space="preserve"> metodologie și care urmează a fi detaliate in ghidul solicitantului</w:t>
      </w:r>
      <w:r w:rsidRPr="0037091C">
        <w:rPr>
          <w:lang w:val="it-IT"/>
        </w:rPr>
        <w:t>:</w:t>
      </w:r>
    </w:p>
    <w:p w14:paraId="07A33574" w14:textId="77777777" w:rsidR="001C0A94" w:rsidRDefault="001C0A94" w:rsidP="001C0A94">
      <w:pPr>
        <w:pStyle w:val="ListParagraph"/>
      </w:pPr>
      <w:r w:rsidRPr="001C0A94">
        <w:rPr>
          <w:b/>
          <w:bCs/>
          <w:color w:val="1C6194" w:themeColor="accent6" w:themeShade="BF"/>
        </w:rPr>
        <w:t>A.</w:t>
      </w:r>
      <w:r w:rsidRPr="001C0A94">
        <w:rPr>
          <w:color w:val="1C6194" w:themeColor="accent6" w:themeShade="BF"/>
        </w:rPr>
        <w:t xml:space="preserve"> </w:t>
      </w:r>
      <w:r w:rsidRPr="001C0A94">
        <w:rPr>
          <w:b/>
          <w:bCs/>
          <w:color w:val="1C6194" w:themeColor="accent6" w:themeShade="BF"/>
        </w:rPr>
        <w:t>Acțiune obligatorie:</w:t>
      </w:r>
      <w:r w:rsidRPr="001C0A94">
        <w:rPr>
          <w:color w:val="1C6194" w:themeColor="accent6" w:themeShade="BF"/>
        </w:rPr>
        <w:t xml:space="preserve">  </w:t>
      </w:r>
      <w:r>
        <w:t>Finanțarea echipamentelor și activităților care stau la baza realizării de capacități de producere de energie pentru clădirile publice. Echipamentele de categoriile</w:t>
      </w:r>
      <w:r w:rsidRPr="0037091C">
        <w:rPr>
          <w:lang w:val="it-IT"/>
        </w:rPr>
        <w:t>: energie</w:t>
      </w:r>
      <w:r>
        <w:t xml:space="preserve"> </w:t>
      </w:r>
      <w:r w:rsidRPr="008D3DE0">
        <w:t>fotovoltaică</w:t>
      </w:r>
      <w:r>
        <w:t>/ fototermică</w:t>
      </w:r>
      <w:r w:rsidRPr="008D3DE0">
        <w:t>, eoliană, alte SRE - biogaz, geotermal, inclusiv pompe de căldură</w:t>
      </w:r>
      <w:r>
        <w:t>, cu respectarea prevederilor prezentei metodologii, ale Ghidului solicitantului și legislației în vigoare.</w:t>
      </w:r>
    </w:p>
    <w:p w14:paraId="2DE7302B" w14:textId="77777777" w:rsidR="00761665" w:rsidRDefault="00761665" w:rsidP="001C0A94">
      <w:pPr>
        <w:pStyle w:val="ListParagraph"/>
      </w:pPr>
    </w:p>
    <w:p w14:paraId="1B464EC8" w14:textId="2D58FFC8" w:rsidR="001C0A94" w:rsidRPr="00777FA0" w:rsidRDefault="001C0A94" w:rsidP="001C0A94">
      <w:pPr>
        <w:pStyle w:val="ListParagraph"/>
      </w:pPr>
      <w:r w:rsidRPr="001C0A94">
        <w:rPr>
          <w:b/>
          <w:bCs/>
          <w:color w:val="1C6194" w:themeColor="accent6" w:themeShade="BF"/>
        </w:rPr>
        <w:t>B. Acțiune opțională</w:t>
      </w:r>
      <w:r w:rsidRPr="001C0A94">
        <w:rPr>
          <w:b/>
          <w:bCs/>
          <w:color w:val="1C6194" w:themeColor="accent6" w:themeShade="BF"/>
          <w:lang w:val="en-US"/>
        </w:rPr>
        <w:t>:</w:t>
      </w:r>
      <w:r w:rsidRPr="001C0A94">
        <w:rPr>
          <w:color w:val="1C6194" w:themeColor="accent6" w:themeShade="BF"/>
        </w:rPr>
        <w:t xml:space="preserve"> </w:t>
      </w:r>
      <w:r w:rsidRPr="00047CD3">
        <w:t xml:space="preserve">punctată suplimentar. </w:t>
      </w:r>
      <w:r>
        <w:t xml:space="preserve"> </w:t>
      </w:r>
      <w:r w:rsidRPr="00777FA0">
        <w:t xml:space="preserve">Finanțarea echipamentelor și activităților care stau la baza realizării de capacități de producere de energie pentru gospodării individuale. Echipamentele </w:t>
      </w:r>
      <w:r w:rsidRPr="00EE40A0">
        <w:t xml:space="preserve">de categoriile: </w:t>
      </w:r>
      <w:r w:rsidRPr="00777FA0">
        <w:t>panouri fotovoltaic</w:t>
      </w:r>
      <w:r>
        <w:t>e</w:t>
      </w:r>
      <w:r w:rsidRPr="00777FA0">
        <w:t xml:space="preserve"> (PV) și panouri fototermice/pompe de căldură , cu respectarea prevederilor prezentei metodologii, ale Ghidului solicitantului și legislației în vigoare.</w:t>
      </w:r>
    </w:p>
    <w:p w14:paraId="7348FE99" w14:textId="77777777" w:rsidR="001C0A94" w:rsidRPr="00EE40A0" w:rsidRDefault="001C0A94" w:rsidP="001C0A94">
      <w:r>
        <w:t>Proiectele pot cuprinde una sau ambele acțiuni A - B, conform necesarului identificat la nivelul UAT, cu condiția ca UAT să îndeplinească calitatea de unic solicitant pentru proiectul care va integra cele două tipuri de acțiuni, dacă se identifică acest necesar pentru gospodăriile de la nivelul UAT, sau pentru un proiect care cuprinde doar clădirile publice, în condițiile</w:t>
      </w:r>
      <w:r w:rsidRPr="0037091C">
        <w:t xml:space="preserve"> </w:t>
      </w:r>
      <w:r w:rsidRPr="00777FA0">
        <w:t>prezentei metodologii, ale Ghidului solicitantului și legislației în vigoare.</w:t>
      </w:r>
      <w:r>
        <w:t xml:space="preserve"> Beneficiari potențiali sunt UAT individual sau asocieri în cadrul unui parteneriat între diverse UAT și/sau Consiliul Județean.</w:t>
      </w:r>
    </w:p>
    <w:p w14:paraId="028C2BD3" w14:textId="77777777" w:rsidR="00A657B7" w:rsidRDefault="00A657B7">
      <w:pPr>
        <w:ind w:left="0"/>
        <w:rPr>
          <w:color w:val="FF0000"/>
        </w:rPr>
      </w:pPr>
    </w:p>
    <w:p w14:paraId="46BF03D2" w14:textId="2E313B13" w:rsidR="001C0A94" w:rsidRDefault="001C0A94" w:rsidP="001C0A94">
      <w:pPr>
        <w:ind w:left="0"/>
      </w:pPr>
      <w:r w:rsidRPr="001C0A94">
        <w:t xml:space="preserve">Acțiunile sprijinite în cadrul prezentului apel de proiecte vor avea în vedere investiții în </w:t>
      </w:r>
      <w:bookmarkStart w:id="47" w:name="_Hlk213405867"/>
      <w:r w:rsidRPr="001C0A94">
        <w:t>dezvoltarea de mici capacități de producție</w:t>
      </w:r>
      <w:r w:rsidR="00E02F88">
        <w:t xml:space="preserve"> (fotovoltaică, eoliană, alte SRE - biogaz, geotermal, inclusiv pompe de căldură etc.)și fracția de rețea/racord integrată care să conecteze, după caz, capacitățile de producție sau stocare la sistemul SEN</w:t>
      </w:r>
      <w:r w:rsidR="004F1B1C">
        <w:t>/ locul de consum</w:t>
      </w:r>
      <w:r w:rsidR="00E02F88">
        <w:t>)</w:t>
      </w:r>
      <w:r w:rsidRPr="001C0A94">
        <w:t xml:space="preserve"> </w:t>
      </w:r>
      <w:bookmarkEnd w:id="47"/>
      <w:r>
        <w:t>în limita distanței dintre locul de producție si punctul de consum și stocare de energie regenerabilă necesară clădirilor publice în care funcționează școli, spitale, cămine pentru persoane vârstnice, creșe, servicii sociale, centre de formare profesională, inclusiv surse de consum precum iluminatului public sau stații de încărcare autovehicule electrice dedicate transportului public.</w:t>
      </w:r>
    </w:p>
    <w:p w14:paraId="1401DF0B" w14:textId="3CE890F0" w:rsidR="001C0A94" w:rsidRDefault="001C0A94" w:rsidP="001C0A94">
      <w:pPr>
        <w:ind w:left="0"/>
      </w:pPr>
      <w:r>
        <w:t>Se pot finanța gospodării individuale, în situația în care UAT va evalua și în măsura în care  identifică gospodării individuale care își exprimă interesul pentru instalarea de capacități de producție de energie electrică și/sau termică din sursele regenerabile fotovoltaic și fototermic/pompe de căldură în perspectiva în care acestea vor face parte din viitoarea comunitate de energie. Metodologia de selecție a acestor gospodăriile vor va respecta condițiile privind tranziția justă și vor fi selectate conform principiilor PTJ referitoare la gospodării vulnerabile, afectate de tranziție și cu respectarea principiului combaterii sărăciei energetice. Totodată, se va evalua și posibilitatea practică de a implementa efectiv proiectele în locațiile gospodăriilor selectate (starea tehnică a clădirilor și a instalațiilor electrice, alte aspecte considerate relevante de către UAT la nivel local sau județean care să permită o implementare rapidă, in condiții de eficiență a proiectului).</w:t>
      </w:r>
    </w:p>
    <w:p w14:paraId="05B772BA" w14:textId="2482D20F" w:rsidR="00E02F88" w:rsidRPr="001C0A94" w:rsidRDefault="00E02F88" w:rsidP="001C0A94">
      <w:pPr>
        <w:ind w:left="0"/>
      </w:pPr>
      <w:r>
        <w:t>Nu se finanțează modernizarea unor capacități de producție existente, scopul apelurilor fiind acela de a finanța capcități noi.</w:t>
      </w:r>
    </w:p>
    <w:p w14:paraId="78668015" w14:textId="77777777" w:rsidR="00A657B7" w:rsidRDefault="00245051">
      <w:pPr>
        <w:ind w:left="0"/>
      </w:pPr>
      <w:r>
        <w:t>Promovarea investițiilor propuse la finanțare prin prezentul ghid al solicitantului va contribui la realizarea următoarelor obiective:</w:t>
      </w:r>
    </w:p>
    <w:p w14:paraId="18DB9D8A" w14:textId="3DF0C9BD" w:rsidR="001C0A94" w:rsidRDefault="001C0A94">
      <w:pPr>
        <w:ind w:left="0"/>
      </w:pPr>
      <w:r>
        <w:t>-  crearea comunităților de energie regenerabilă</w:t>
      </w:r>
    </w:p>
    <w:p w14:paraId="0F4C9E31" w14:textId="73DEC3DC" w:rsidR="00A657B7" w:rsidRDefault="00245051">
      <w:pPr>
        <w:ind w:left="0"/>
        <w:rPr>
          <w:color w:val="FF0000"/>
        </w:rPr>
      </w:pPr>
      <w:r>
        <w:t>-</w:t>
      </w:r>
      <w:r w:rsidR="001C0A94">
        <w:t xml:space="preserve"> </w:t>
      </w:r>
      <w:r>
        <w:t>economie mai eficientă din punctul de vedere al utilizării surselor, mai ecologică şi mai competitivă, conducând la dezvoltarea durabilă, care se bazează, printre altele, pe un nivel înalt de protecţie şi pe îmbunătăţirea calităţii mediului;</w:t>
      </w:r>
    </w:p>
    <w:p w14:paraId="095D7B52" w14:textId="3628C1C6" w:rsidR="00A657B7" w:rsidRDefault="00245051">
      <w:pPr>
        <w:ind w:left="0"/>
      </w:pPr>
      <w:r>
        <w:rPr>
          <w:color w:val="FF0000"/>
        </w:rPr>
        <w:t>-</w:t>
      </w:r>
      <w:r w:rsidR="001C0A94">
        <w:rPr>
          <w:color w:val="FF0000"/>
        </w:rPr>
        <w:t xml:space="preserve"> </w:t>
      </w:r>
      <w:r>
        <w:t>atingerea obiectivelor Uniunii Europene privind producția de energie din surse regenerabile prevăzute în Directiva (UE) 2018/2001 a Parlamentului European și a Consiliului privind promovarea utilizării energiei din surse regenerabile;</w:t>
      </w:r>
    </w:p>
    <w:p w14:paraId="6250B122" w14:textId="77777777" w:rsidR="00A657B7" w:rsidRDefault="00245051">
      <w:pPr>
        <w:spacing w:before="0" w:after="0"/>
        <w:ind w:left="0"/>
        <w:jc w:val="left"/>
      </w:pPr>
      <w:r>
        <w:t xml:space="preserve">-  atingerea obiectivelor, politicilor și măsurilor prevăzute în </w:t>
      </w:r>
      <w:r>
        <w:rPr>
          <w:iCs/>
        </w:rPr>
        <w:t xml:space="preserve">Planul Național Integrat în domeniul Energiei și Schimbărilor Climatice </w:t>
      </w:r>
      <w:r>
        <w:t xml:space="preserve">(PNIESC) 2021 – 2030, prin care se asigură contribuția națională la atingerea țintelor </w:t>
      </w:r>
      <w:r>
        <w:lastRenderedPageBreak/>
        <w:t>Uniunii Europene (UE) privind energia și clima pentru 2030 și pentru neutralitatea climatică a economiei până în 2050.</w:t>
      </w:r>
    </w:p>
    <w:p w14:paraId="4CA855F8" w14:textId="660503A8" w:rsidR="00A657B7" w:rsidRDefault="00245051">
      <w:pPr>
        <w:ind w:left="0"/>
      </w:pPr>
      <w:r>
        <w:rPr>
          <w:color w:val="FF0000"/>
        </w:rPr>
        <w:t>-</w:t>
      </w:r>
      <w:r w:rsidR="001C0A94">
        <w:rPr>
          <w:color w:val="FF0000"/>
        </w:rPr>
        <w:t xml:space="preserve"> </w:t>
      </w:r>
      <w:r>
        <w:t>creșterea producției de energie din surse regenerabile;</w:t>
      </w:r>
    </w:p>
    <w:p w14:paraId="70F6E528" w14:textId="2B1C36BD" w:rsidR="00A657B7" w:rsidRDefault="00245051">
      <w:pPr>
        <w:ind w:left="0"/>
      </w:pPr>
      <w:r>
        <w:t>-</w:t>
      </w:r>
      <w:r w:rsidR="001C0A94">
        <w:t xml:space="preserve"> </w:t>
      </w:r>
      <w:r>
        <w:t>creșterea ponderii energiei regenerabile în totalul consumului de energie primară, ca rezultat al investițiilor de creștere a puterii instalate de producere a energiei electrice şi termice din surse regenerabile;</w:t>
      </w:r>
    </w:p>
    <w:p w14:paraId="4AC2161C" w14:textId="0C98C290" w:rsidR="00A657B7" w:rsidRDefault="00245051">
      <w:pPr>
        <w:ind w:left="0"/>
      </w:pPr>
      <w:r>
        <w:t>-</w:t>
      </w:r>
      <w:r w:rsidR="001C0A94">
        <w:t xml:space="preserve"> </w:t>
      </w:r>
      <w:r>
        <w:t>reducerea emisiilor de carbon în atmosferă prin înlocuirea unei părţi din cantitatea de combustibili fosili consumați în fiecare an - cărbune, gaz natural.</w:t>
      </w:r>
    </w:p>
    <w:p w14:paraId="12D6FD47" w14:textId="781F1F5C" w:rsidR="00A657B7" w:rsidRDefault="00245051">
      <w:pPr>
        <w:ind w:left="0"/>
      </w:pPr>
      <w:r>
        <w:t xml:space="preserve">- </w:t>
      </w:r>
      <w:r w:rsidR="001C0A94">
        <w:t>î</w:t>
      </w:r>
      <w:r>
        <w:t>ncurajarea dezvoltării capacităților de stocare a energiei;</w:t>
      </w:r>
    </w:p>
    <w:p w14:paraId="2F8A4ED1" w14:textId="77777777" w:rsidR="00A657B7" w:rsidRDefault="00A657B7">
      <w:pPr>
        <w:ind w:left="0"/>
      </w:pPr>
    </w:p>
    <w:p w14:paraId="6B3EF12C" w14:textId="77777777" w:rsidR="001C0A94" w:rsidRDefault="001C0A94" w:rsidP="001C0A94">
      <w:pPr>
        <w:ind w:left="0"/>
      </w:pPr>
      <w:r>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5B3E72C9" w14:textId="77777777" w:rsidR="001C0A94" w:rsidRPr="001C0A94" w:rsidRDefault="001C0A94" w:rsidP="001C0A94">
      <w:pPr>
        <w:ind w:left="0"/>
        <w:rPr>
          <w:b/>
          <w:bCs/>
          <w:color w:val="85A5C1" w:themeColor="background2" w:themeShade="BF"/>
        </w:rPr>
      </w:pPr>
      <w:r>
        <w:t xml:space="preserve">Pentru detalii  legate de activitățile finanțate în cadrul apelurilor de proiecte a se vedea </w:t>
      </w:r>
      <w:r w:rsidRPr="001C0A94">
        <w:rPr>
          <w:b/>
          <w:bCs/>
          <w:color w:val="85A5C1" w:themeColor="background2" w:themeShade="BF"/>
        </w:rPr>
        <w:t>Secțiunea 5.2 la prezentul ghid.</w:t>
      </w:r>
    </w:p>
    <w:p w14:paraId="15036DC9" w14:textId="77777777" w:rsidR="00A657B7" w:rsidRDefault="00A657B7">
      <w:pPr>
        <w:ind w:left="0"/>
        <w:rPr>
          <w:color w:val="FF0000"/>
        </w:rPr>
        <w:sectPr w:rsidR="00A657B7">
          <w:footerReference w:type="default" r:id="rId10"/>
          <w:footerReference w:type="first" r:id="rId11"/>
          <w:pgSz w:w="11906" w:h="16838"/>
          <w:pgMar w:top="1417" w:right="1133" w:bottom="851" w:left="1134" w:header="0" w:footer="6" w:gutter="0"/>
          <w:cols w:space="708"/>
          <w:docGrid w:linePitch="360"/>
        </w:sectPr>
      </w:pPr>
    </w:p>
    <w:p w14:paraId="3F9776A9" w14:textId="77777777" w:rsidR="00A657B7" w:rsidRDefault="00A657B7"/>
    <w:p w14:paraId="30B0058A" w14:textId="77777777" w:rsidR="00A657B7" w:rsidRDefault="00245051">
      <w:pPr>
        <w:pStyle w:val="Heading2"/>
        <w:numPr>
          <w:ilvl w:val="1"/>
          <w:numId w:val="3"/>
        </w:numPr>
      </w:pPr>
      <w:bookmarkStart w:id="48" w:name="_Toc143499299"/>
      <w:bookmarkStart w:id="49" w:name="_Toc213405538"/>
      <w:r>
        <w:t>Grup țintă vizat de apelul de proiecte</w:t>
      </w:r>
      <w:bookmarkEnd w:id="48"/>
      <w:bookmarkEnd w:id="49"/>
    </w:p>
    <w:p w14:paraId="6BD1584C" w14:textId="77777777" w:rsidR="00A657B7" w:rsidRDefault="00A657B7">
      <w:pPr>
        <w:ind w:left="0"/>
      </w:pPr>
    </w:p>
    <w:p w14:paraId="62558E82" w14:textId="301E71B9" w:rsidR="00A657B7" w:rsidRDefault="001C0A94">
      <w:pPr>
        <w:ind w:left="0"/>
        <w:rPr>
          <w:color w:val="FF0000"/>
        </w:rPr>
      </w:pPr>
      <w:r w:rsidRPr="001C0A94">
        <w:t>Grupul țintă este reprezentat de întreaga populație a zonelor vizate de apelurile de proiecte în conformitate cu secțiunea 3.5 la prezentul ghid, dar în special persoanele vizate de investiții sunt cele direct afectate de procesul de tranziție prin pierderea locului de muncă sau cele indirect afectate de tranziție din cauza competențelor neadecvate sau insuficient adecvate cererii, inclusiv cele care au ocupat un loc de muncă cu un nivel de pregătire de bază sau mediu, tinerii cu vârsta de până la 29 ani, persoanele cu vârsta de peste 55 de ani, femeile, membrii familiei monoparentale, membrii minorităților etnice și persoanele care se încadrează în categoria lucrătorilor defavorizați, a celor extrem de defavorizați și a lucrătorilor cu handicap.</w:t>
      </w:r>
    </w:p>
    <w:p w14:paraId="0748F88E" w14:textId="77777777" w:rsidR="00A657B7" w:rsidRDefault="00245051">
      <w:pPr>
        <w:pStyle w:val="Heading2"/>
        <w:numPr>
          <w:ilvl w:val="1"/>
          <w:numId w:val="3"/>
        </w:numPr>
      </w:pPr>
      <w:bookmarkStart w:id="50" w:name="_Toc143499300"/>
      <w:bookmarkStart w:id="51" w:name="_Toc213405539"/>
      <w:r>
        <w:t>Indicatori</w:t>
      </w:r>
      <w:bookmarkEnd w:id="50"/>
      <w:bookmarkEnd w:id="51"/>
    </w:p>
    <w:p w14:paraId="15742592" w14:textId="77777777" w:rsidR="00A657B7" w:rsidRDefault="00245051">
      <w:pPr>
        <w:pStyle w:val="Heading3"/>
        <w:numPr>
          <w:ilvl w:val="2"/>
          <w:numId w:val="3"/>
        </w:numPr>
      </w:pPr>
      <w:bookmarkStart w:id="52" w:name="_heading=h.3whwml4"/>
      <w:bookmarkStart w:id="53" w:name="_Toc213405540"/>
      <w:bookmarkEnd w:id="52"/>
      <w:r>
        <w:t>Indicatori de realizare</w:t>
      </w:r>
      <w:bookmarkEnd w:id="53"/>
      <w:r>
        <w:t xml:space="preserve"> </w:t>
      </w:r>
    </w:p>
    <w:tbl>
      <w:tblPr>
        <w:tblStyle w:val="GridTable4-Accent1"/>
        <w:tblW w:w="10571" w:type="dxa"/>
        <w:tblInd w:w="-365" w:type="dxa"/>
        <w:tblLayout w:type="fixed"/>
        <w:tblLook w:val="04A0" w:firstRow="1" w:lastRow="0" w:firstColumn="1" w:lastColumn="0" w:noHBand="0" w:noVBand="1"/>
      </w:tblPr>
      <w:tblGrid>
        <w:gridCol w:w="1297"/>
        <w:gridCol w:w="2320"/>
        <w:gridCol w:w="1310"/>
        <w:gridCol w:w="5408"/>
        <w:gridCol w:w="236"/>
      </w:tblGrid>
      <w:tr w:rsidR="00A657B7" w14:paraId="7BFB4AF5" w14:textId="77777777" w:rsidTr="00A657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3494BA"/>
              <w:left w:val="single" w:sz="4" w:space="0" w:color="3494BA"/>
              <w:bottom w:val="single" w:sz="4" w:space="0" w:color="3494BA"/>
              <w:right w:val="single" w:sz="4" w:space="0" w:color="3494BA"/>
            </w:tcBorders>
          </w:tcPr>
          <w:p w14:paraId="23D21E8B" w14:textId="77777777" w:rsidR="00A657B7" w:rsidRDefault="00245051">
            <w:pPr>
              <w:widowControl w:val="0"/>
              <w:spacing w:after="0"/>
              <w:ind w:left="0"/>
              <w:rPr>
                <w:sz w:val="18"/>
                <w:szCs w:val="18"/>
              </w:rPr>
            </w:pPr>
            <w:r>
              <w:rPr>
                <w:bCs w:val="0"/>
                <w:color w:val="FFFFFF"/>
                <w:sz w:val="18"/>
                <w:szCs w:val="18"/>
              </w:rPr>
              <w:t>ID</w:t>
            </w:r>
          </w:p>
        </w:tc>
        <w:tc>
          <w:tcPr>
            <w:tcW w:w="2320" w:type="dxa"/>
            <w:tcBorders>
              <w:top w:val="single" w:sz="4" w:space="0" w:color="3494BA"/>
              <w:left w:val="single" w:sz="4" w:space="0" w:color="3494BA"/>
              <w:bottom w:val="single" w:sz="4" w:space="0" w:color="3494BA"/>
              <w:right w:val="single" w:sz="4" w:space="0" w:color="3494BA"/>
            </w:tcBorders>
          </w:tcPr>
          <w:p w14:paraId="4EEA7F6E"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Indicatori de realizare</w:t>
            </w:r>
          </w:p>
        </w:tc>
        <w:tc>
          <w:tcPr>
            <w:tcW w:w="1310" w:type="dxa"/>
            <w:tcBorders>
              <w:top w:val="single" w:sz="4" w:space="0" w:color="3494BA"/>
              <w:left w:val="single" w:sz="4" w:space="0" w:color="3494BA"/>
              <w:bottom w:val="single" w:sz="4" w:space="0" w:color="3494BA"/>
              <w:right w:val="single" w:sz="4" w:space="0" w:color="3494BA"/>
            </w:tcBorders>
          </w:tcPr>
          <w:p w14:paraId="15277D00"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Unitate de măsură</w:t>
            </w:r>
          </w:p>
        </w:tc>
        <w:tc>
          <w:tcPr>
            <w:tcW w:w="5408" w:type="dxa"/>
            <w:tcBorders>
              <w:top w:val="single" w:sz="4" w:space="0" w:color="3494BA"/>
              <w:left w:val="single" w:sz="4" w:space="0" w:color="3494BA"/>
              <w:bottom w:val="single" w:sz="4" w:space="0" w:color="3494BA"/>
              <w:right w:val="single" w:sz="4" w:space="0" w:color="3494BA"/>
            </w:tcBorders>
          </w:tcPr>
          <w:p w14:paraId="26F31AE7"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Descriere indicator</w:t>
            </w:r>
          </w:p>
        </w:tc>
        <w:tc>
          <w:tcPr>
            <w:tcW w:w="236" w:type="dxa"/>
            <w:tcBorders>
              <w:top w:val="single" w:sz="4" w:space="0" w:color="3494BA"/>
              <w:left w:val="single" w:sz="4" w:space="0" w:color="3494BA"/>
              <w:bottom w:val="single" w:sz="4" w:space="0" w:color="3494BA"/>
              <w:right w:val="single" w:sz="4" w:space="0" w:color="3494BA"/>
            </w:tcBorders>
          </w:tcPr>
          <w:p w14:paraId="575BE8B5" w14:textId="77777777" w:rsidR="00A657B7" w:rsidRDefault="00A657B7">
            <w:pPr>
              <w:widowControl w:val="0"/>
              <w:spacing w:after="0"/>
              <w:cnfStyle w:val="100000000000" w:firstRow="1" w:lastRow="0" w:firstColumn="0" w:lastColumn="0" w:oddVBand="0" w:evenVBand="0" w:oddHBand="0" w:evenHBand="0" w:firstRowFirstColumn="0" w:firstRowLastColumn="0" w:lastRowFirstColumn="0" w:lastRowLastColumn="0"/>
              <w:rPr>
                <w:color w:val="FFFFFF"/>
              </w:rPr>
            </w:pPr>
          </w:p>
        </w:tc>
      </w:tr>
      <w:tr w:rsidR="00A657B7" w14:paraId="2BC550BE" w14:textId="77777777" w:rsidTr="00A657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727785B9" w14:textId="77777777" w:rsidR="00A657B7" w:rsidRDefault="00245051">
            <w:pPr>
              <w:widowControl w:val="0"/>
              <w:spacing w:after="0"/>
              <w:ind w:left="0"/>
              <w:rPr>
                <w:sz w:val="18"/>
                <w:szCs w:val="18"/>
              </w:rPr>
            </w:pPr>
            <w:r>
              <w:rPr>
                <w:sz w:val="18"/>
                <w:szCs w:val="18"/>
              </w:rPr>
              <w:t>RCO 22</w:t>
            </w:r>
          </w:p>
        </w:tc>
        <w:tc>
          <w:tcPr>
            <w:tcW w:w="2320" w:type="dxa"/>
          </w:tcPr>
          <w:p w14:paraId="6E51F99F" w14:textId="77777777" w:rsidR="00A657B7" w:rsidRDefault="00245051">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r>
              <w:rPr>
                <w:rFonts w:eastAsia="Times New Roman"/>
                <w:sz w:val="18"/>
                <w:szCs w:val="18"/>
              </w:rPr>
              <w:t>Capacitate de producție suplimentară pentru energia din surse regenerabile (din care: energie electrică, termică)*</w:t>
            </w:r>
          </w:p>
        </w:tc>
        <w:tc>
          <w:tcPr>
            <w:tcW w:w="1310" w:type="dxa"/>
          </w:tcPr>
          <w:p w14:paraId="59E24CDC" w14:textId="77777777" w:rsidR="00A657B7" w:rsidRDefault="00245051">
            <w:pPr>
              <w:keepNext/>
              <w:widowControl w:val="0"/>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sz w:val="18"/>
                <w:szCs w:val="18"/>
              </w:rPr>
              <w:t>MW</w:t>
            </w:r>
          </w:p>
        </w:tc>
        <w:tc>
          <w:tcPr>
            <w:tcW w:w="5408" w:type="dxa"/>
          </w:tcPr>
          <w:p w14:paraId="31255DF1" w14:textId="77777777" w:rsidR="00860B0B" w:rsidRPr="00860B0B" w:rsidRDefault="00860B0B" w:rsidP="00860B0B">
            <w:pPr>
              <w:keepNext/>
              <w:widowControl w:val="0"/>
              <w:spacing w:after="0"/>
              <w:ind w:left="40"/>
              <w:cnfStyle w:val="000000100000" w:firstRow="0" w:lastRow="0" w:firstColumn="0" w:lastColumn="0" w:oddVBand="0" w:evenVBand="0" w:oddHBand="1" w:evenHBand="0" w:firstRowFirstColumn="0" w:firstRowLastColumn="0" w:lastRowFirstColumn="0" w:lastRowLastColumn="0"/>
              <w:rPr>
                <w:bCs/>
                <w:sz w:val="18"/>
                <w:szCs w:val="18"/>
              </w:rPr>
            </w:pPr>
            <w:r w:rsidRPr="00860B0B">
              <w:rPr>
                <w:bCs/>
                <w:sz w:val="18"/>
                <w:szCs w:val="18"/>
              </w:rPr>
              <w:t>În cadrul acestei acțiuni, contribuțiile la indicatorul RCO 22 sunt de următoarele tipuri:</w:t>
            </w:r>
          </w:p>
          <w:p w14:paraId="21F793FF" w14:textId="0191B395" w:rsidR="00A657B7" w:rsidRDefault="00860B0B" w:rsidP="00860B0B">
            <w:pPr>
              <w:keepNext/>
              <w:widowControl w:val="0"/>
              <w:spacing w:after="0"/>
              <w:ind w:left="40"/>
              <w:cnfStyle w:val="000000100000" w:firstRow="0" w:lastRow="0" w:firstColumn="0" w:lastColumn="0" w:oddVBand="0" w:evenVBand="0" w:oddHBand="1" w:evenHBand="0" w:firstRowFirstColumn="0" w:firstRowLastColumn="0" w:lastRowFirstColumn="0" w:lastRowLastColumn="0"/>
              <w:rPr>
                <w:bCs/>
                <w:sz w:val="18"/>
                <w:szCs w:val="18"/>
              </w:rPr>
            </w:pPr>
            <w:r w:rsidRPr="00860B0B">
              <w:rPr>
                <w:bCs/>
                <w:sz w:val="18"/>
                <w:szCs w:val="18"/>
              </w:rPr>
              <w:t>- crearea de capacități de producție de mici dimensiuni și stocare de energie regenerabilă (solar, eolian, geotermal, inclusiv pompe de căldură) pentru alimentarea clădirilor în care se realizează servicii publice</w:t>
            </w:r>
          </w:p>
        </w:tc>
        <w:tc>
          <w:tcPr>
            <w:tcW w:w="236" w:type="dxa"/>
            <w:tcBorders>
              <w:top w:val="none" w:sz="4" w:space="0" w:color="000000"/>
              <w:left w:val="none" w:sz="4" w:space="0" w:color="000000"/>
              <w:bottom w:val="none" w:sz="4" w:space="0" w:color="000000"/>
              <w:right w:val="none" w:sz="4" w:space="0" w:color="000000"/>
            </w:tcBorders>
          </w:tcPr>
          <w:p w14:paraId="31F554DC" w14:textId="77777777" w:rsidR="00A657B7" w:rsidRDefault="00A657B7">
            <w:pPr>
              <w:widowControl w:val="0"/>
              <w:spacing w:after="0"/>
              <w:cnfStyle w:val="000000100000" w:firstRow="0" w:lastRow="0" w:firstColumn="0" w:lastColumn="0" w:oddVBand="0" w:evenVBand="0" w:oddHBand="1" w:evenHBand="0" w:firstRowFirstColumn="0" w:firstRowLastColumn="0" w:lastRowFirstColumn="0" w:lastRowLastColumn="0"/>
            </w:pPr>
          </w:p>
        </w:tc>
      </w:tr>
    </w:tbl>
    <w:p w14:paraId="4BB7542D" w14:textId="63AB6337" w:rsidR="00A657B7" w:rsidRDefault="00245051">
      <w:pPr>
        <w:ind w:left="0"/>
      </w:pPr>
      <w:r>
        <w:rPr>
          <w:color w:val="FF0000"/>
        </w:rPr>
        <w:t>*</w:t>
      </w:r>
      <w:r>
        <w:t xml:space="preserve"> Capacitate suplimentară de producție pentru energie regenerabilă construită sau extinsă datorită sprijinului. </w:t>
      </w:r>
    </w:p>
    <w:p w14:paraId="67B86A2C" w14:textId="77777777" w:rsidR="00A657B7" w:rsidRDefault="00A657B7">
      <w:bookmarkStart w:id="54" w:name="_heading=h.3as4poj"/>
      <w:bookmarkStart w:id="55" w:name="_heading=h.3as4poj_Copy_1"/>
      <w:bookmarkEnd w:id="54"/>
      <w:bookmarkEnd w:id="55"/>
    </w:p>
    <w:bookmarkStart w:id="56" w:name="_heading=h.3as4poj_Copy_1_Copy_1"/>
    <w:bookmarkEnd w:id="56"/>
    <w:p w14:paraId="28CE0BCD" w14:textId="73ADC934" w:rsidR="00A657B7" w:rsidRDefault="00245051">
      <w:pPr>
        <w:pStyle w:val="Heading3"/>
        <w:numPr>
          <w:ilvl w:val="2"/>
          <w:numId w:val="3"/>
        </w:numPr>
      </w:pPr>
      <w:sdt>
        <w:sdtPr>
          <w:tag w:val="goog_rdk_30"/>
          <w:id w:val="628130912"/>
          <w:showingPlcHdr/>
        </w:sdtPr>
        <w:sdtEndPr/>
        <w:sdtContent>
          <w:r w:rsidR="00860B0B">
            <w:t xml:space="preserve">    </w:t>
          </w:r>
          <w:bookmarkStart w:id="57" w:name="_Toc213405541"/>
          <w:r w:rsidR="00860B0B">
            <w:t xml:space="preserve"> </w:t>
          </w:r>
        </w:sdtContent>
      </w:sdt>
      <w:r>
        <w:t>Indicatori de rezultat</w:t>
      </w:r>
      <w:bookmarkEnd w:id="57"/>
      <w:r>
        <w:t xml:space="preserve"> </w:t>
      </w:r>
    </w:p>
    <w:p w14:paraId="03A78DF2" w14:textId="77777777" w:rsidR="00A657B7" w:rsidRDefault="00245051">
      <w:pPr>
        <w:ind w:left="0"/>
      </w:pPr>
      <w:r>
        <w:t>Indicatorii de rezultat fac obiectul monitorizării performanțelor programului, având obiective și ținte stabilite la nivelul programului, și se referă la:</w:t>
      </w:r>
    </w:p>
    <w:p w14:paraId="4DFD218E" w14:textId="77777777" w:rsidR="00A657B7" w:rsidRDefault="00A657B7">
      <w:pPr>
        <w:rPr>
          <w:color w:val="FF0000"/>
        </w:rPr>
      </w:pPr>
    </w:p>
    <w:tbl>
      <w:tblPr>
        <w:tblStyle w:val="GridTable4-Accent1"/>
        <w:tblW w:w="10561" w:type="dxa"/>
        <w:tblInd w:w="-365" w:type="dxa"/>
        <w:tblLayout w:type="fixed"/>
        <w:tblLook w:val="04A0" w:firstRow="1" w:lastRow="0" w:firstColumn="1" w:lastColumn="0" w:noHBand="0" w:noVBand="1"/>
      </w:tblPr>
      <w:tblGrid>
        <w:gridCol w:w="1323"/>
        <w:gridCol w:w="2372"/>
        <w:gridCol w:w="1337"/>
        <w:gridCol w:w="5529"/>
      </w:tblGrid>
      <w:tr w:rsidR="00A657B7" w14:paraId="4C9DEA67" w14:textId="77777777" w:rsidTr="00860B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3494BA"/>
              <w:left w:val="single" w:sz="4" w:space="0" w:color="3494BA"/>
              <w:bottom w:val="single" w:sz="4" w:space="0" w:color="3494BA"/>
              <w:right w:val="single" w:sz="4" w:space="0" w:color="3494BA"/>
            </w:tcBorders>
          </w:tcPr>
          <w:p w14:paraId="02FD179C" w14:textId="77777777" w:rsidR="00A657B7" w:rsidRDefault="00245051">
            <w:pPr>
              <w:widowControl w:val="0"/>
              <w:spacing w:after="0"/>
              <w:ind w:left="0"/>
              <w:rPr>
                <w:sz w:val="18"/>
                <w:szCs w:val="18"/>
              </w:rPr>
            </w:pPr>
            <w:bookmarkStart w:id="58" w:name="_heading=h.1pxezwc"/>
            <w:bookmarkEnd w:id="58"/>
            <w:r>
              <w:rPr>
                <w:bCs w:val="0"/>
                <w:color w:val="FFFFFF"/>
                <w:sz w:val="18"/>
                <w:szCs w:val="18"/>
              </w:rPr>
              <w:t>ID</w:t>
            </w:r>
          </w:p>
        </w:tc>
        <w:tc>
          <w:tcPr>
            <w:tcW w:w="2372" w:type="dxa"/>
            <w:tcBorders>
              <w:top w:val="single" w:sz="4" w:space="0" w:color="3494BA"/>
              <w:left w:val="single" w:sz="4" w:space="0" w:color="3494BA"/>
              <w:bottom w:val="single" w:sz="4" w:space="0" w:color="3494BA"/>
              <w:right w:val="single" w:sz="4" w:space="0" w:color="3494BA"/>
            </w:tcBorders>
          </w:tcPr>
          <w:p w14:paraId="427F790A"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Indicatori de rezultat</w:t>
            </w:r>
          </w:p>
        </w:tc>
        <w:tc>
          <w:tcPr>
            <w:tcW w:w="1337" w:type="dxa"/>
            <w:tcBorders>
              <w:top w:val="single" w:sz="4" w:space="0" w:color="3494BA"/>
              <w:left w:val="single" w:sz="4" w:space="0" w:color="3494BA"/>
              <w:bottom w:val="single" w:sz="4" w:space="0" w:color="3494BA"/>
              <w:right w:val="single" w:sz="4" w:space="0" w:color="3494BA"/>
            </w:tcBorders>
          </w:tcPr>
          <w:p w14:paraId="2F534569"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Unitate de măsură</w:t>
            </w:r>
          </w:p>
        </w:tc>
        <w:tc>
          <w:tcPr>
            <w:tcW w:w="5529" w:type="dxa"/>
            <w:tcBorders>
              <w:top w:val="single" w:sz="4" w:space="0" w:color="3494BA"/>
              <w:left w:val="single" w:sz="4" w:space="0" w:color="3494BA"/>
              <w:bottom w:val="single" w:sz="4" w:space="0" w:color="3494BA"/>
              <w:right w:val="single" w:sz="4" w:space="0" w:color="3494BA"/>
            </w:tcBorders>
          </w:tcPr>
          <w:p w14:paraId="289A9048"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color w:val="FFFFFF"/>
                <w:sz w:val="18"/>
                <w:szCs w:val="18"/>
              </w:rPr>
              <w:t>Descriere indicator</w:t>
            </w:r>
          </w:p>
        </w:tc>
      </w:tr>
      <w:tr w:rsidR="00A657B7" w14:paraId="6A99F860" w14:textId="77777777" w:rsidTr="00860B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61365FDC" w14:textId="77777777" w:rsidR="00A657B7" w:rsidRDefault="00245051">
            <w:pPr>
              <w:widowControl w:val="0"/>
              <w:spacing w:after="0"/>
              <w:ind w:left="0"/>
              <w:rPr>
                <w:sz w:val="18"/>
                <w:szCs w:val="18"/>
              </w:rPr>
            </w:pPr>
            <w:r>
              <w:rPr>
                <w:sz w:val="18"/>
                <w:szCs w:val="18"/>
              </w:rPr>
              <w:lastRenderedPageBreak/>
              <w:t>RCR 31</w:t>
            </w:r>
          </w:p>
        </w:tc>
        <w:tc>
          <w:tcPr>
            <w:tcW w:w="2372" w:type="dxa"/>
          </w:tcPr>
          <w:p w14:paraId="7E087115" w14:textId="77777777" w:rsidR="00A657B7" w:rsidRDefault="00245051">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Energie totală din surse regenerabile produsă (din care: energie electrică, termică) *</w:t>
            </w:r>
          </w:p>
          <w:p w14:paraId="24E71DA1" w14:textId="77777777" w:rsidR="00A657B7" w:rsidRDefault="00A657B7">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p>
        </w:tc>
        <w:tc>
          <w:tcPr>
            <w:tcW w:w="1337" w:type="dxa"/>
          </w:tcPr>
          <w:p w14:paraId="51686BA6" w14:textId="77777777" w:rsidR="00A657B7" w:rsidRDefault="00245051">
            <w:pPr>
              <w:keepNext/>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sz w:val="18"/>
                <w:szCs w:val="18"/>
              </w:rPr>
              <w:t>MWh/an</w:t>
            </w:r>
          </w:p>
        </w:tc>
        <w:tc>
          <w:tcPr>
            <w:tcW w:w="5529" w:type="dxa"/>
          </w:tcPr>
          <w:p w14:paraId="2D88C6D8" w14:textId="77777777" w:rsidR="00860B0B" w:rsidRPr="00860B0B" w:rsidRDefault="00860B0B" w:rsidP="00860B0B">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860B0B">
              <w:rPr>
                <w:sz w:val="18"/>
                <w:szCs w:val="18"/>
              </w:rPr>
              <w:t xml:space="preserve">Contribuțiile la indicatorul RCR 31 provin din următoarele tipuri de acțiuni: </w:t>
            </w:r>
          </w:p>
          <w:p w14:paraId="2DF6A80E" w14:textId="734117C5" w:rsidR="00A657B7" w:rsidRDefault="00860B0B" w:rsidP="00860B0B">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sidRPr="00860B0B">
              <w:rPr>
                <w:sz w:val="18"/>
                <w:szCs w:val="18"/>
              </w:rPr>
              <w:t>-</w:t>
            </w:r>
            <w:r w:rsidRPr="00860B0B">
              <w:rPr>
                <w:sz w:val="18"/>
                <w:szCs w:val="18"/>
              </w:rPr>
              <w:tab/>
              <w:t>crearea de capacități de producție de mici dimensiuni și stocare de energie regenerabilă (solar, eolian, geotermal, inclusiv pompe de căldură) pentru alimentarea clădirilor în care se realizează servicii publice</w:t>
            </w:r>
          </w:p>
        </w:tc>
      </w:tr>
    </w:tbl>
    <w:p w14:paraId="111C9424" w14:textId="77777777" w:rsidR="00A657B7" w:rsidRDefault="00245051">
      <w:pPr>
        <w:ind w:left="0"/>
      </w:pPr>
      <w:r>
        <w:t>* Energia anuală  produsa din surse regenerabile înainte și după intervenția din proiectele susținute. Valoarea de bază se referă la energia anuală produsă în anul anterior începerii intervenției și poate fi diferită de zero în cazurile în care capacitatea de producție este extinsă. Valoarea realizată este energia anuală produsă în anul de după finalizarea intervenției. Dezagregarea pe energie electrică și termică se referă la sursa de energie regenerabilă.</w:t>
      </w:r>
    </w:p>
    <w:p w14:paraId="106BEE77" w14:textId="49C14FCE" w:rsidR="00A657B7" w:rsidRDefault="00245051">
      <w:pPr>
        <w:ind w:left="0"/>
      </w:pPr>
      <w:r>
        <w:rPr>
          <w:b/>
          <w:bCs/>
        </w:rPr>
        <w:t>Metodologie de calcul</w:t>
      </w:r>
      <w:r>
        <w:t xml:space="preserve">: Producția de energie din surse regenerabile conform capacității instalate. În </w:t>
      </w:r>
      <w:r w:rsidR="00761665">
        <w:t>a</w:t>
      </w:r>
      <w:r>
        <w:t xml:space="preserve">naliza </w:t>
      </w:r>
      <w:r w:rsidR="00761665">
        <w:t>privind necesarul de consum</w:t>
      </w:r>
      <w:r>
        <w:t xml:space="preserve"> se va prezenta (curba de producţie) profil de producție al tehnologiilor propuse. </w:t>
      </w:r>
    </w:p>
    <w:p w14:paraId="17A8065A" w14:textId="77777777" w:rsidR="00A657B7" w:rsidRDefault="00245051">
      <w:pPr>
        <w:ind w:left="0"/>
      </w:pPr>
      <w:r>
        <w:t>Pentru definiția energiei regenerabile a se vedea RCO22.</w:t>
      </w:r>
    </w:p>
    <w:p w14:paraId="24086A3D" w14:textId="77777777" w:rsidR="00A657B7" w:rsidRDefault="00245051">
      <w:pPr>
        <w:ind w:left="0"/>
      </w:pPr>
      <w:r>
        <w:t>La completarea cererii de finanțare în MySMIS, indicatorul de rezultat se va introduce în tabelul indicatorilor prestabiliți de rezultat (secțiunea Indicatori prestabiliți).</w:t>
      </w:r>
    </w:p>
    <w:p w14:paraId="470991D1" w14:textId="77777777" w:rsidR="00A657B7" w:rsidRDefault="00245051">
      <w:pPr>
        <w:ind w:left="0"/>
      </w:pPr>
      <w:r>
        <w:t>Monitorizarea și verificarea respectării indicatorilor la nivel de proiect se realizează în condițiile contractului de finanțare.</w:t>
      </w:r>
    </w:p>
    <w:p w14:paraId="552BE341" w14:textId="77777777" w:rsidR="00A657B7" w:rsidRDefault="00A657B7">
      <w:pPr>
        <w:ind w:left="0"/>
      </w:pPr>
    </w:p>
    <w:p w14:paraId="0FBA16C6" w14:textId="77777777" w:rsidR="00A657B7" w:rsidRDefault="00245051">
      <w:pPr>
        <w:pStyle w:val="Heading3"/>
        <w:numPr>
          <w:ilvl w:val="2"/>
          <w:numId w:val="3"/>
        </w:numPr>
      </w:pPr>
      <w:bookmarkStart w:id="59" w:name="_Toc213405542"/>
      <w:r>
        <w:t>Indicatori suplimentari specifici apelului de proiecte (dacă este cazul)</w:t>
      </w:r>
      <w:bookmarkEnd w:id="59"/>
    </w:p>
    <w:p w14:paraId="71085B74" w14:textId="77777777" w:rsidR="00A657B7" w:rsidRDefault="00A657B7"/>
    <w:tbl>
      <w:tblPr>
        <w:tblStyle w:val="GridTable4-Accent1"/>
        <w:tblW w:w="9900" w:type="dxa"/>
        <w:tblInd w:w="-365" w:type="dxa"/>
        <w:tblLayout w:type="fixed"/>
        <w:tblLook w:val="04A0" w:firstRow="1" w:lastRow="0" w:firstColumn="1" w:lastColumn="0" w:noHBand="0" w:noVBand="1"/>
      </w:tblPr>
      <w:tblGrid>
        <w:gridCol w:w="1236"/>
        <w:gridCol w:w="2260"/>
        <w:gridCol w:w="1927"/>
        <w:gridCol w:w="4477"/>
      </w:tblGrid>
      <w:tr w:rsidR="00A657B7" w14:paraId="310002B8" w14:textId="77777777" w:rsidTr="000F74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Borders>
              <w:top w:val="single" w:sz="4" w:space="0" w:color="3494BA"/>
              <w:left w:val="single" w:sz="4" w:space="0" w:color="3494BA"/>
              <w:bottom w:val="single" w:sz="4" w:space="0" w:color="3494BA"/>
              <w:right w:val="single" w:sz="4" w:space="0" w:color="3494BA"/>
            </w:tcBorders>
          </w:tcPr>
          <w:p w14:paraId="68A973D0" w14:textId="77777777" w:rsidR="00A657B7" w:rsidRDefault="00245051">
            <w:pPr>
              <w:widowControl w:val="0"/>
              <w:spacing w:after="0"/>
              <w:ind w:left="0"/>
              <w:rPr>
                <w:sz w:val="18"/>
                <w:szCs w:val="18"/>
              </w:rPr>
            </w:pPr>
            <w:r>
              <w:rPr>
                <w:bCs w:val="0"/>
                <w:sz w:val="18"/>
                <w:szCs w:val="18"/>
              </w:rPr>
              <w:t>ID</w:t>
            </w:r>
          </w:p>
        </w:tc>
        <w:tc>
          <w:tcPr>
            <w:tcW w:w="2260" w:type="dxa"/>
            <w:tcBorders>
              <w:top w:val="single" w:sz="4" w:space="0" w:color="3494BA"/>
              <w:left w:val="single" w:sz="4" w:space="0" w:color="3494BA"/>
              <w:bottom w:val="single" w:sz="4" w:space="0" w:color="3494BA"/>
              <w:right w:val="single" w:sz="4" w:space="0" w:color="3494BA"/>
            </w:tcBorders>
          </w:tcPr>
          <w:p w14:paraId="47CCEA5F"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Indicatori de rezultat</w:t>
            </w:r>
          </w:p>
        </w:tc>
        <w:tc>
          <w:tcPr>
            <w:tcW w:w="1927" w:type="dxa"/>
            <w:tcBorders>
              <w:top w:val="single" w:sz="4" w:space="0" w:color="3494BA"/>
              <w:left w:val="single" w:sz="4" w:space="0" w:color="3494BA"/>
              <w:bottom w:val="single" w:sz="4" w:space="0" w:color="3494BA"/>
              <w:right w:val="single" w:sz="4" w:space="0" w:color="3494BA"/>
            </w:tcBorders>
          </w:tcPr>
          <w:p w14:paraId="1B48295D"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Unitate de măsură</w:t>
            </w:r>
          </w:p>
        </w:tc>
        <w:tc>
          <w:tcPr>
            <w:tcW w:w="4477" w:type="dxa"/>
            <w:tcBorders>
              <w:top w:val="single" w:sz="4" w:space="0" w:color="3494BA"/>
              <w:left w:val="single" w:sz="4" w:space="0" w:color="3494BA"/>
              <w:bottom w:val="single" w:sz="4" w:space="0" w:color="3494BA"/>
              <w:right w:val="single" w:sz="4" w:space="0" w:color="3494BA"/>
            </w:tcBorders>
          </w:tcPr>
          <w:p w14:paraId="3A678903" w14:textId="77777777" w:rsidR="00A657B7" w:rsidRDefault="00245051">
            <w:pPr>
              <w:widowControl w:val="0"/>
              <w:spacing w:after="0"/>
              <w:ind w:left="0"/>
              <w:jc w:val="center"/>
              <w:cnfStyle w:val="100000000000" w:firstRow="1" w:lastRow="0" w:firstColumn="0" w:lastColumn="0" w:oddVBand="0" w:evenVBand="0" w:oddHBand="0" w:evenHBand="0" w:firstRowFirstColumn="0" w:firstRowLastColumn="0" w:lastRowFirstColumn="0" w:lastRowLastColumn="0"/>
              <w:rPr>
                <w:sz w:val="18"/>
                <w:szCs w:val="18"/>
              </w:rPr>
            </w:pPr>
            <w:r>
              <w:rPr>
                <w:bCs w:val="0"/>
                <w:sz w:val="18"/>
                <w:szCs w:val="18"/>
              </w:rPr>
              <w:t>Descriere indicator</w:t>
            </w:r>
          </w:p>
        </w:tc>
      </w:tr>
      <w:tr w:rsidR="00A657B7" w14:paraId="7C472833" w14:textId="77777777" w:rsidTr="000F74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Pr>
          <w:p w14:paraId="68752362" w14:textId="7BD8B51C" w:rsidR="00A657B7" w:rsidRDefault="00860B0B">
            <w:pPr>
              <w:widowControl w:val="0"/>
              <w:spacing w:after="0"/>
              <w:ind w:left="0"/>
              <w:rPr>
                <w:sz w:val="18"/>
                <w:szCs w:val="18"/>
              </w:rPr>
            </w:pPr>
            <w:r>
              <w:rPr>
                <w:sz w:val="18"/>
                <w:szCs w:val="18"/>
              </w:rPr>
              <w:t>R1 (CO34)</w:t>
            </w:r>
          </w:p>
        </w:tc>
        <w:tc>
          <w:tcPr>
            <w:tcW w:w="2260" w:type="dxa"/>
          </w:tcPr>
          <w:p w14:paraId="70DB5EEF" w14:textId="77777777" w:rsidR="00A657B7" w:rsidRDefault="00245051">
            <w:pPr>
              <w:widowControl w:val="0"/>
              <w:spacing w:after="0"/>
              <w:ind w:left="40"/>
              <w:cnfStyle w:val="000000100000" w:firstRow="0" w:lastRow="0" w:firstColumn="0" w:lastColumn="0" w:oddVBand="0" w:evenVBand="0" w:oddHBand="1" w:evenHBand="0" w:firstRowFirstColumn="0" w:firstRowLastColumn="0" w:lastRowFirstColumn="0" w:lastRowLastColumn="0"/>
              <w:rPr>
                <w:i/>
                <w:sz w:val="18"/>
                <w:szCs w:val="18"/>
              </w:rPr>
            </w:pPr>
            <w:r>
              <w:rPr>
                <w:sz w:val="18"/>
                <w:szCs w:val="18"/>
              </w:rPr>
              <w:t>Reducerea gazelor cu efect de seră: Scădere anuală estimată a gazelor cu efect de seră</w:t>
            </w:r>
            <w:r>
              <w:rPr>
                <w:i/>
                <w:sz w:val="18"/>
                <w:szCs w:val="18"/>
              </w:rPr>
              <w:t xml:space="preserve"> </w:t>
            </w:r>
          </w:p>
        </w:tc>
        <w:tc>
          <w:tcPr>
            <w:tcW w:w="1927" w:type="dxa"/>
          </w:tcPr>
          <w:p w14:paraId="2AD5EC17" w14:textId="77777777" w:rsidR="00A657B7" w:rsidRDefault="00245051">
            <w:pPr>
              <w:keepNext/>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proofErr w:type="spellStart"/>
            <w:r>
              <w:rPr>
                <w:rFonts w:eastAsia="Times New Roman"/>
                <w:sz w:val="18"/>
                <w:szCs w:val="18"/>
                <w:lang w:val="fr-FR"/>
              </w:rPr>
              <w:t>Echivalent</w:t>
            </w:r>
            <w:proofErr w:type="spellEnd"/>
            <w:r>
              <w:rPr>
                <w:rFonts w:eastAsia="Times New Roman"/>
                <w:sz w:val="18"/>
                <w:szCs w:val="18"/>
                <w:lang w:val="fr-FR"/>
              </w:rPr>
              <w:t xml:space="preserve"> </w:t>
            </w:r>
            <w:proofErr w:type="spellStart"/>
            <w:r>
              <w:rPr>
                <w:rFonts w:eastAsia="Times New Roman"/>
                <w:sz w:val="18"/>
                <w:szCs w:val="18"/>
                <w:lang w:val="fr-FR"/>
              </w:rPr>
              <w:t>tone</w:t>
            </w:r>
            <w:proofErr w:type="spellEnd"/>
            <w:r>
              <w:rPr>
                <w:rFonts w:eastAsia="Times New Roman"/>
                <w:sz w:val="18"/>
                <w:szCs w:val="18"/>
                <w:lang w:val="fr-FR"/>
              </w:rPr>
              <w:t xml:space="preserve"> de CO</w:t>
            </w:r>
            <w:r>
              <w:rPr>
                <w:rFonts w:eastAsia="Times New Roman"/>
                <w:sz w:val="18"/>
                <w:szCs w:val="18"/>
                <w:vertAlign w:val="subscript"/>
                <w:lang w:val="fr-FR"/>
              </w:rPr>
              <w:t>2</w:t>
            </w:r>
          </w:p>
        </w:tc>
        <w:tc>
          <w:tcPr>
            <w:tcW w:w="4477" w:type="dxa"/>
          </w:tcPr>
          <w:p w14:paraId="6BCEEC2B" w14:textId="77777777" w:rsidR="00A657B7" w:rsidRDefault="00245051">
            <w:pPr>
              <w:widowControl w:val="0"/>
              <w:spacing w:after="0"/>
              <w:ind w:left="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estimarea totală a scăderii anuale a cantității de emisii de gaze cu efect de seră la sfârșitul perioadei ca urmare a înlocuirii producției de energie care nu este din surse regenerabile cu producția de energie din surse regenerabile</w:t>
            </w:r>
          </w:p>
        </w:tc>
      </w:tr>
      <w:tr w:rsidR="000F7463" w14:paraId="4242D3FB" w14:textId="77777777" w:rsidTr="000F7463">
        <w:tc>
          <w:tcPr>
            <w:cnfStyle w:val="001000000000" w:firstRow="0" w:lastRow="0" w:firstColumn="1" w:lastColumn="0" w:oddVBand="0" w:evenVBand="0" w:oddHBand="0" w:evenHBand="0" w:firstRowFirstColumn="0" w:firstRowLastColumn="0" w:lastRowFirstColumn="0" w:lastRowLastColumn="0"/>
            <w:tcW w:w="1236" w:type="dxa"/>
          </w:tcPr>
          <w:p w14:paraId="25F99924" w14:textId="4487CFA0" w:rsidR="000F7463" w:rsidRDefault="000F7463">
            <w:pPr>
              <w:widowControl w:val="0"/>
              <w:spacing w:after="0"/>
              <w:ind w:left="0"/>
              <w:rPr>
                <w:sz w:val="18"/>
                <w:szCs w:val="18"/>
              </w:rPr>
            </w:pPr>
            <w:r>
              <w:rPr>
                <w:sz w:val="18"/>
                <w:szCs w:val="18"/>
              </w:rPr>
              <w:t>R2</w:t>
            </w:r>
          </w:p>
        </w:tc>
        <w:tc>
          <w:tcPr>
            <w:tcW w:w="2260" w:type="dxa"/>
          </w:tcPr>
          <w:p w14:paraId="7374AF59" w14:textId="1A9D34C0" w:rsidR="000F7463" w:rsidRDefault="000F7463">
            <w:pPr>
              <w:widowControl w:val="0"/>
              <w:spacing w:after="0"/>
              <w:ind w:left="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Număr de sisteme EMS (enegy management ssistem) instalate sau sisteme de monitorizare a fluxurilor de energie la nivel de proiect</w:t>
            </w:r>
          </w:p>
        </w:tc>
        <w:tc>
          <w:tcPr>
            <w:tcW w:w="1927" w:type="dxa"/>
          </w:tcPr>
          <w:p w14:paraId="5E77EF27" w14:textId="6E59BB6F" w:rsidR="000F7463" w:rsidRDefault="000F7463">
            <w:pPr>
              <w:keepNext/>
              <w:widowControl w:val="0"/>
              <w:spacing w:after="0"/>
              <w:ind w:left="0"/>
              <w:cnfStyle w:val="000000000000" w:firstRow="0" w:lastRow="0" w:firstColumn="0" w:lastColumn="0" w:oddVBand="0" w:evenVBand="0" w:oddHBand="0" w:evenHBand="0" w:firstRowFirstColumn="0" w:firstRowLastColumn="0" w:lastRowFirstColumn="0" w:lastRowLastColumn="0"/>
              <w:rPr>
                <w:rFonts w:eastAsia="Times New Roman"/>
                <w:sz w:val="18"/>
                <w:szCs w:val="18"/>
                <w:lang w:val="fr-FR"/>
              </w:rPr>
            </w:pPr>
            <w:r>
              <w:rPr>
                <w:rFonts w:eastAsia="Times New Roman"/>
                <w:sz w:val="18"/>
                <w:szCs w:val="18"/>
                <w:lang w:val="fr-FR"/>
              </w:rPr>
              <w:t>Buc.</w:t>
            </w:r>
          </w:p>
        </w:tc>
        <w:tc>
          <w:tcPr>
            <w:tcW w:w="4477" w:type="dxa"/>
          </w:tcPr>
          <w:p w14:paraId="3A1E94E4" w14:textId="77777777" w:rsidR="000F7463" w:rsidRDefault="000F7463">
            <w:pPr>
              <w:widowControl w:val="0"/>
              <w:spacing w:after="0"/>
              <w:ind w:left="0"/>
              <w:cnfStyle w:val="000000000000" w:firstRow="0" w:lastRow="0" w:firstColumn="0" w:lastColumn="0" w:oddVBand="0" w:evenVBand="0" w:oddHBand="0" w:evenHBand="0" w:firstRowFirstColumn="0" w:firstRowLastColumn="0" w:lastRowFirstColumn="0" w:lastRowLastColumn="0"/>
              <w:rPr>
                <w:sz w:val="18"/>
                <w:szCs w:val="18"/>
              </w:rPr>
            </w:pPr>
          </w:p>
        </w:tc>
      </w:tr>
    </w:tbl>
    <w:p w14:paraId="50DE3306" w14:textId="77777777" w:rsidR="00A657B7" w:rsidRPr="00C0006D" w:rsidRDefault="00245051">
      <w:pPr>
        <w:ind w:left="0"/>
      </w:pPr>
      <w:r w:rsidRPr="00C0006D">
        <w:t>CO34 = estimarea totală a scăderii anuale a cantității de emisii de gaze cu efect de seră la sfârșitul perioadei ca urmare a înlocuirii producției de energie care nu este din surse regenerabile cu producția de energie din surse regenerabile.</w:t>
      </w:r>
    </w:p>
    <w:p w14:paraId="775848D0" w14:textId="77777777" w:rsidR="00A657B7" w:rsidRPr="00C0006D" w:rsidRDefault="00245051">
      <w:pPr>
        <w:ind w:left="0"/>
      </w:pPr>
      <w:r w:rsidRPr="00C0006D">
        <w:t>Formula de calcul: Cantitatea de emisii de gaze cu efect de seră, redusă ca urmare a instalării capacității noi de producere a energiei din surse regenerabile, considerată neutră din punct de vedere a emisiilor de gaze cu efect de seră, în echivalent tone de CO2.</w:t>
      </w:r>
    </w:p>
    <w:p w14:paraId="10EE5963" w14:textId="77777777" w:rsidR="00A657B7" w:rsidRPr="00C0006D" w:rsidRDefault="00245051">
      <w:pPr>
        <w:ind w:left="0"/>
      </w:pPr>
      <w:r w:rsidRPr="00C0006D">
        <w:t>Se calculează parcurgând următorii pași:</w:t>
      </w:r>
    </w:p>
    <w:p w14:paraId="22E7EE54" w14:textId="77777777" w:rsidR="00A657B7" w:rsidRPr="00C0006D" w:rsidRDefault="00245051">
      <w:pPr>
        <w:ind w:left="0"/>
      </w:pPr>
      <w:r w:rsidRPr="00C0006D">
        <w:t>a. Se calculează producția anuală medie de energie = : Producția de energie din surse regenerabile conform capacității instalate, calculată cu programe de specialitate, exprimata in MWh/an</w:t>
      </w:r>
    </w:p>
    <w:p w14:paraId="36AECB4E" w14:textId="77777777" w:rsidR="00A657B7" w:rsidRPr="00C0006D" w:rsidRDefault="00245051">
      <w:pPr>
        <w:ind w:left="0"/>
      </w:pPr>
      <w:r w:rsidRPr="00C0006D">
        <w:t xml:space="preserve">b. Se calculează cantitatea de emisii redusă= Producția de energie din surse regenerabile conform capacității instalate, calculată cu programe de specialitate se înmulțește cu factorii de conversie după cum urmează: Fiecare MWe sau MWt din regenerabile are corespondență cu emisii de CO2 astfel: 1 MWe = 0,0265 tone </w:t>
      </w:r>
      <w:r w:rsidRPr="00C0006D">
        <w:lastRenderedPageBreak/>
        <w:t xml:space="preserve">CO2/MWhe; </w:t>
      </w:r>
      <w:bookmarkStart w:id="60" w:name="_Hlk153357911"/>
      <w:r w:rsidRPr="00C0006D">
        <w:t>1 MWt = 0,202 tone CO2/MWh pentru înlocuire gaz; 1 MWt = 0,364 tone CO28/MWh pentru înlocuire cărbune</w:t>
      </w:r>
      <w:bookmarkEnd w:id="60"/>
      <w:r w:rsidRPr="00C0006D">
        <w:rPr>
          <w:rStyle w:val="FootnoteReference"/>
        </w:rPr>
        <w:footnoteReference w:id="1"/>
      </w:r>
    </w:p>
    <w:p w14:paraId="6ABA516A" w14:textId="77777777" w:rsidR="00A657B7" w:rsidRPr="00C0006D" w:rsidRDefault="00A657B7">
      <w:pPr>
        <w:ind w:left="0"/>
      </w:pPr>
    </w:p>
    <w:p w14:paraId="08D246CC" w14:textId="77777777" w:rsidR="00A657B7" w:rsidRPr="00C0006D" w:rsidRDefault="00245051">
      <w:pPr>
        <w:tabs>
          <w:tab w:val="left" w:pos="9498"/>
        </w:tabs>
        <w:ind w:left="0"/>
        <w:rPr>
          <w:b/>
          <w:lang w:val="es-ES"/>
        </w:rPr>
      </w:pPr>
      <w:r w:rsidRPr="00C0006D">
        <w:rPr>
          <w:b/>
        </w:rPr>
        <w:t>În perioada de monitorizare, pentru justificarea autoconsumului anual, beneficiarul va prezenta, alături de documentele justificative, rezultatul următorului calcul</w:t>
      </w:r>
      <w:r w:rsidRPr="00C0006D">
        <w:rPr>
          <w:b/>
          <w:lang w:val="es-ES"/>
        </w:rPr>
        <w:t>:</w:t>
      </w:r>
    </w:p>
    <w:p w14:paraId="05F2BA2F" w14:textId="77777777" w:rsidR="00A657B7" w:rsidRPr="00C0006D" w:rsidRDefault="00245051">
      <w:pPr>
        <w:tabs>
          <w:tab w:val="left" w:pos="9498"/>
        </w:tabs>
        <w:ind w:left="0"/>
        <w:rPr>
          <w:b/>
          <w:lang w:val="es-ES"/>
        </w:rPr>
      </w:pPr>
      <w:r w:rsidRPr="00C0006D">
        <w:rPr>
          <w:b/>
          <w:lang w:val="es-ES"/>
        </w:rPr>
        <w:t>I – C &lt;= 0</w:t>
      </w:r>
    </w:p>
    <w:p w14:paraId="4BDD47C8" w14:textId="77777777" w:rsidR="00A657B7" w:rsidRPr="00C0006D" w:rsidRDefault="00245051">
      <w:pPr>
        <w:tabs>
          <w:tab w:val="left" w:pos="9498"/>
        </w:tabs>
        <w:ind w:left="0"/>
        <w:rPr>
          <w:b/>
          <w:lang w:val="es-ES"/>
        </w:rPr>
      </w:pPr>
      <w:proofErr w:type="spellStart"/>
      <w:r w:rsidRPr="00C0006D">
        <w:rPr>
          <w:b/>
          <w:lang w:val="es-ES"/>
        </w:rPr>
        <w:t>unde</w:t>
      </w:r>
      <w:proofErr w:type="spellEnd"/>
      <w:r w:rsidRPr="00C0006D">
        <w:rPr>
          <w:b/>
          <w:lang w:val="es-ES"/>
        </w:rPr>
        <w:t>:</w:t>
      </w:r>
    </w:p>
    <w:p w14:paraId="0317B208" w14:textId="77777777" w:rsidR="00A657B7" w:rsidRPr="00C0006D" w:rsidRDefault="00245051">
      <w:pPr>
        <w:tabs>
          <w:tab w:val="left" w:pos="9498"/>
        </w:tabs>
        <w:ind w:left="0"/>
        <w:rPr>
          <w:b/>
        </w:rPr>
      </w:pPr>
      <w:r w:rsidRPr="00C0006D">
        <w:rPr>
          <w:b/>
          <w:lang w:val="es-ES"/>
        </w:rPr>
        <w:t xml:space="preserve">I = </w:t>
      </w:r>
      <w:proofErr w:type="spellStart"/>
      <w:r w:rsidRPr="00C0006D">
        <w:rPr>
          <w:b/>
          <w:lang w:val="es-ES"/>
        </w:rPr>
        <w:t>Cantitatea</w:t>
      </w:r>
      <w:proofErr w:type="spellEnd"/>
      <w:r w:rsidRPr="00C0006D">
        <w:rPr>
          <w:b/>
          <w:lang w:val="es-ES"/>
        </w:rPr>
        <w:t xml:space="preserve"> </w:t>
      </w:r>
      <w:proofErr w:type="spellStart"/>
      <w:r w:rsidRPr="00C0006D">
        <w:rPr>
          <w:b/>
          <w:lang w:val="es-ES"/>
        </w:rPr>
        <w:t>anuală</w:t>
      </w:r>
      <w:proofErr w:type="spellEnd"/>
      <w:r w:rsidRPr="00C0006D">
        <w:rPr>
          <w:b/>
          <w:lang w:val="es-ES"/>
        </w:rPr>
        <w:t xml:space="preserve"> de </w:t>
      </w:r>
      <w:proofErr w:type="spellStart"/>
      <w:r w:rsidRPr="00C0006D">
        <w:rPr>
          <w:b/>
          <w:lang w:val="es-ES"/>
        </w:rPr>
        <w:t>energie</w:t>
      </w:r>
      <w:proofErr w:type="spellEnd"/>
      <w:r w:rsidRPr="00C0006D">
        <w:rPr>
          <w:b/>
          <w:lang w:val="es-ES"/>
        </w:rPr>
        <w:t xml:space="preserve"> </w:t>
      </w:r>
      <w:proofErr w:type="spellStart"/>
      <w:r w:rsidRPr="00C0006D">
        <w:rPr>
          <w:b/>
          <w:lang w:val="es-ES"/>
        </w:rPr>
        <w:t>electric</w:t>
      </w:r>
      <w:proofErr w:type="spellEnd"/>
      <w:r w:rsidRPr="00C0006D">
        <w:rPr>
          <w:b/>
        </w:rPr>
        <w:t>ă injectată în rețea, având la bază ca document justificativ</w:t>
      </w:r>
      <w:r w:rsidRPr="00C0006D">
        <w:t xml:space="preserve"> </w:t>
      </w:r>
      <w:r w:rsidRPr="00C0006D">
        <w:rPr>
          <w:b/>
        </w:rPr>
        <w:t xml:space="preserve">curba de consum orar (IBD) solicitata de la OD, facturile emise de furnizor sau auditul electroenergetic în cazul în care nu există variantele prezentate anterior </w:t>
      </w:r>
    </w:p>
    <w:p w14:paraId="3F157F60" w14:textId="77777777" w:rsidR="00A657B7" w:rsidRPr="00C0006D" w:rsidRDefault="00245051">
      <w:pPr>
        <w:tabs>
          <w:tab w:val="left" w:pos="9498"/>
        </w:tabs>
        <w:ind w:left="0"/>
        <w:rPr>
          <w:b/>
        </w:rPr>
      </w:pPr>
      <w:r w:rsidRPr="00C0006D">
        <w:rPr>
          <w:b/>
        </w:rPr>
        <w:t>C = Cantitatea anuală de energie electrică consumată din rețea, având la bază ca document justificativ facturile emise de furnizor anexate la auditul electroenergetic sau auditul electroenergetic în cazul în care nu există facturi sau altele</w:t>
      </w:r>
    </w:p>
    <w:p w14:paraId="36C44EA2" w14:textId="77777777" w:rsidR="00A657B7" w:rsidRDefault="00245051">
      <w:pPr>
        <w:tabs>
          <w:tab w:val="left" w:pos="9498"/>
        </w:tabs>
        <w:ind w:left="0"/>
      </w:pPr>
      <w:r w:rsidRPr="00C0006D">
        <w:rPr>
          <w:b/>
        </w:rPr>
        <w:t xml:space="preserve">Dacă această condiție nu este îndeplinită la nivelul unuia sau a mai multor ani, ea trebuie îndeplinită minim la nivelul perioadei de monitorizare de cinci ani. </w:t>
      </w:r>
      <w:r w:rsidRPr="00C0006D">
        <w:t>Energie electrică produsă de capacitatea nou instalată poate fi livrata în SEN, iar compensarea se va realiza conform prevederilor Legii nr. 123/2012 a energiei electrice și a gazelor naturale, cu modificările și completările ulterioare si a Ordinului ANRE nr. 15 din 23 februarie 2022 pentru aprobarea Metodologiei de stabilire a regulilor de comercializare a energiei electrice produse în centrale electrice din surse regenerabile cu putere electrică instalată de cel mult 400 kW pe loc de consum aparținând pr</w:t>
      </w:r>
      <w:r w:rsidRPr="00C0006D">
        <w:t>osumatorilor.</w:t>
      </w:r>
    </w:p>
    <w:p w14:paraId="240975A5" w14:textId="77777777" w:rsidR="00A657B7" w:rsidRDefault="00A657B7">
      <w:pPr>
        <w:ind w:left="0"/>
      </w:pPr>
    </w:p>
    <w:p w14:paraId="1918A061" w14:textId="77777777" w:rsidR="00A657B7" w:rsidRDefault="00245051">
      <w:pPr>
        <w:pStyle w:val="Heading2"/>
        <w:numPr>
          <w:ilvl w:val="1"/>
          <w:numId w:val="3"/>
        </w:numPr>
      </w:pPr>
      <w:bookmarkStart w:id="61" w:name="_Toc143499301"/>
      <w:bookmarkStart w:id="62" w:name="_Toc213405543"/>
      <w:r>
        <w:t>Rezultatele așteptate</w:t>
      </w:r>
      <w:bookmarkEnd w:id="61"/>
      <w:bookmarkEnd w:id="62"/>
    </w:p>
    <w:p w14:paraId="60CD7237" w14:textId="7F3185D7" w:rsidR="00A657B7" w:rsidRDefault="00245051">
      <w:pPr>
        <w:ind w:left="0"/>
      </w:pPr>
      <w:r>
        <w:t xml:space="preserve">Principalele rezultate urmărite prin promovarea investițiilor pentru acțiunea ” Energie verde accesibilă și mobilitate nepoluantă” , componenta ” </w:t>
      </w:r>
      <w:r w:rsidR="00761665" w:rsidRPr="00761665">
        <w:t>Dezvoltarea surselor de energie regenerabilă  în perspectiva creării comunităților de energie</w:t>
      </w:r>
      <w:r>
        <w:rPr>
          <w:b/>
        </w:rPr>
        <w:t>”</w:t>
      </w:r>
      <w:r>
        <w:t xml:space="preserve"> vizează creșterea capacităților de producție, transport și stocare pentru energia din surse regenerabile pentru clădirile publice</w:t>
      </w:r>
      <w:r w:rsidR="00860B0B">
        <w:t xml:space="preserve"> și gospodării individuale, în perspectiva creaării comunităților de energie</w:t>
      </w:r>
      <w:r>
        <w:rPr>
          <w:b/>
          <w:bCs/>
        </w:rPr>
        <w:t>.</w:t>
      </w:r>
      <w:r>
        <w:t xml:space="preserve"> </w:t>
      </w:r>
    </w:p>
    <w:p w14:paraId="3B07DDE7" w14:textId="77777777" w:rsidR="00860B0B" w:rsidRDefault="00860B0B" w:rsidP="00860B0B">
      <w:pPr>
        <w:ind w:left="0"/>
      </w:pPr>
      <w:r>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37D8C45B" w14:textId="77777777" w:rsidR="00860B0B" w:rsidRDefault="00860B0B" w:rsidP="00860B0B">
      <w:pPr>
        <w:ind w:left="0"/>
      </w:pPr>
      <w:r>
        <w:t>În Cerea de finanțare vor fi identificate rezultate relevante pentru investiţia propusă şi în strânsă legătură cu activităţile proiectului.</w:t>
      </w:r>
    </w:p>
    <w:p w14:paraId="11F19DF2" w14:textId="77777777" w:rsidR="00860B0B" w:rsidRDefault="00860B0B" w:rsidP="00860B0B">
      <w:pPr>
        <w:ind w:left="0"/>
      </w:pPr>
      <w:r>
        <w:t>Rezultatele aşteptate trebuie să fie în strânsă corelare inclusiv cu indicatorii definiţi în cadrul programului și menționați în secţiunea 3.8 şi să conducă la atingerea lor.</w:t>
      </w:r>
    </w:p>
    <w:p w14:paraId="3B11C34A" w14:textId="7D44F9F1" w:rsidR="00860B0B" w:rsidRDefault="00860B0B" w:rsidP="00860B0B">
      <w:pPr>
        <w:ind w:left="0"/>
      </w:pPr>
      <w:r>
        <w:t>Realizarea rezultatelor asumate este obligatorie în perioada de implementare.</w:t>
      </w:r>
    </w:p>
    <w:p w14:paraId="6FB6D0E9" w14:textId="77777777" w:rsidR="00860B0B" w:rsidRDefault="00860B0B">
      <w:pPr>
        <w:ind w:left="0"/>
      </w:pPr>
    </w:p>
    <w:p w14:paraId="44A3A509" w14:textId="0142B243" w:rsidR="00A657B7" w:rsidRDefault="00245051">
      <w:pPr>
        <w:pStyle w:val="Heading2"/>
        <w:numPr>
          <w:ilvl w:val="1"/>
          <w:numId w:val="3"/>
        </w:numPr>
      </w:pPr>
      <w:bookmarkStart w:id="63" w:name="_Toc143499302"/>
      <w:bookmarkStart w:id="64" w:name="_Toc213405544"/>
      <w:r>
        <w:t>Operațiune de importanță strategică</w:t>
      </w:r>
      <w:bookmarkEnd w:id="63"/>
      <w:bookmarkEnd w:id="64"/>
    </w:p>
    <w:p w14:paraId="54FF2A2D" w14:textId="77777777" w:rsidR="00A657B7" w:rsidRDefault="00245051">
      <w:pPr>
        <w:spacing w:after="0"/>
        <w:ind w:left="0"/>
      </w:pPr>
      <w:r>
        <w:t xml:space="preserve">Nu este cazul. </w:t>
      </w:r>
    </w:p>
    <w:p w14:paraId="5C01ED5E" w14:textId="77777777" w:rsidR="00A657B7" w:rsidRDefault="00A657B7"/>
    <w:p w14:paraId="50FC1400" w14:textId="77777777" w:rsidR="00A657B7" w:rsidRDefault="00245051">
      <w:pPr>
        <w:pStyle w:val="Heading2"/>
        <w:numPr>
          <w:ilvl w:val="1"/>
          <w:numId w:val="3"/>
        </w:numPr>
      </w:pPr>
      <w:bookmarkStart w:id="65" w:name="_Toc143499303"/>
      <w:bookmarkStart w:id="66" w:name="_Toc213405545"/>
      <w:r>
        <w:lastRenderedPageBreak/>
        <w:t>Investiții teritoriale integrate</w:t>
      </w:r>
      <w:bookmarkEnd w:id="65"/>
      <w:bookmarkEnd w:id="66"/>
    </w:p>
    <w:p w14:paraId="71983092" w14:textId="77777777" w:rsidR="00A657B7" w:rsidRPr="00860B0B" w:rsidRDefault="00245051">
      <w:pPr>
        <w:ind w:left="0"/>
      </w:pPr>
      <w:r w:rsidRPr="00860B0B">
        <w:t>În baza prezentului ghid se va lansa un apel de proiecte dedicat investițiilor productive localizate pe teritoriul ITI Valea Jiului.</w:t>
      </w:r>
    </w:p>
    <w:p w14:paraId="768C3271" w14:textId="77777777" w:rsidR="00A657B7" w:rsidRPr="00860B0B" w:rsidRDefault="00245051">
      <w:pPr>
        <w:spacing w:before="100"/>
        <w:ind w:left="0"/>
      </w:pPr>
      <w:r w:rsidRPr="00860B0B">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nr. 1060/2021. Operațiunile selectate vor respecta strategia teritorială menționată.</w:t>
      </w:r>
    </w:p>
    <w:p w14:paraId="7B781E58" w14:textId="77777777" w:rsidR="00A657B7" w:rsidRPr="00860B0B" w:rsidRDefault="00245051">
      <w:pPr>
        <w:spacing w:before="100"/>
        <w:ind w:left="0"/>
      </w:pPr>
      <w:r w:rsidRPr="00860B0B">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apelurilor de proiecte cu strategia, asigurând tratamentul egal al solicitanților la finanțare și menținerea investițiilor în teritoriul vizat.</w:t>
      </w:r>
    </w:p>
    <w:p w14:paraId="4A311B91" w14:textId="77777777" w:rsidR="00A657B7" w:rsidRDefault="00245051">
      <w:pPr>
        <w:pStyle w:val="Heading2"/>
        <w:numPr>
          <w:ilvl w:val="1"/>
          <w:numId w:val="3"/>
        </w:numPr>
      </w:pPr>
      <w:bookmarkStart w:id="67" w:name="_Toc143499304"/>
      <w:bookmarkStart w:id="68" w:name="_Toc213405546"/>
      <w:r>
        <w:t>Dezvoltare locală plasată sub responsabilitatea comunității (NA)</w:t>
      </w:r>
      <w:bookmarkEnd w:id="67"/>
      <w:bookmarkEnd w:id="68"/>
    </w:p>
    <w:p w14:paraId="58FB5E6B" w14:textId="77777777" w:rsidR="00A657B7" w:rsidRDefault="00245051">
      <w:pPr>
        <w:pStyle w:val="Heading2"/>
        <w:numPr>
          <w:ilvl w:val="1"/>
          <w:numId w:val="3"/>
        </w:numPr>
      </w:pPr>
      <w:bookmarkStart w:id="69" w:name="_Toc143499305"/>
      <w:bookmarkStart w:id="70" w:name="_Toc213405547"/>
      <w:r>
        <w:t>Reguli privind ajutorul de stat</w:t>
      </w:r>
      <w:bookmarkEnd w:id="69"/>
      <w:bookmarkEnd w:id="70"/>
    </w:p>
    <w:p w14:paraId="3E62196B" w14:textId="77777777" w:rsidR="00A657B7" w:rsidRDefault="00A657B7">
      <w:pPr>
        <w:ind w:left="0"/>
      </w:pPr>
    </w:p>
    <w:p w14:paraId="547602F3" w14:textId="77777777" w:rsidR="00A657B7" w:rsidRDefault="00245051">
      <w:pPr>
        <w:widowControl w:val="0"/>
        <w:spacing w:before="0" w:after="160" w:line="259" w:lineRule="auto"/>
        <w:ind w:left="0"/>
        <w:rPr>
          <w:rFonts w:eastAsia="MS Mincho"/>
        </w:rPr>
      </w:pPr>
      <w:r>
        <w:rPr>
          <w:rFonts w:eastAsia="MS Mincho"/>
        </w:rPr>
        <w:t xml:space="preserve">Acordarea finanțării nerambursabile pentru proiectele vizând realizarea capacităților de producţie, </w:t>
      </w:r>
      <w:r>
        <w:t>transport și stocare de energie din surse regenerabile</w:t>
      </w:r>
      <w:r>
        <w:rPr>
          <w:rFonts w:eastAsia="MS Mincho"/>
        </w:rPr>
        <w:t xml:space="preserve">, cu excepția biomasei, pentru consum propriu nu intră sub incidenţa regulilor de ajutor de stat. </w:t>
      </w:r>
    </w:p>
    <w:p w14:paraId="4E5BFF64" w14:textId="77777777" w:rsidR="00A657B7" w:rsidRDefault="00245051">
      <w:pPr>
        <w:spacing w:before="0" w:after="200"/>
        <w:ind w:left="0"/>
        <w:contextualSpacing/>
      </w:pPr>
      <w:r>
        <w:t xml:space="preserve">În cazul </w:t>
      </w:r>
      <w:r>
        <w:rPr>
          <w:b/>
        </w:rPr>
        <w:t>unităţilor administrativ-teritoriale</w:t>
      </w:r>
      <w:r>
        <w:t xml:space="preserve"> care propun </w:t>
      </w:r>
      <w:r>
        <w:rPr>
          <w:i/>
        </w:rPr>
        <w:t>proiecte de producere a energiei în scopul consumului propriu</w:t>
      </w:r>
      <w:r>
        <w:t>, acestea vor avea în vedere că nu vor putea utiliza energia produsă în scopuri care determină obţinerea de venituri.</w:t>
      </w:r>
    </w:p>
    <w:p w14:paraId="74AD52C8" w14:textId="77777777" w:rsidR="00860B0B" w:rsidRDefault="00860B0B">
      <w:pPr>
        <w:spacing w:before="0" w:after="200"/>
        <w:ind w:left="0"/>
        <w:contextualSpacing/>
      </w:pPr>
    </w:p>
    <w:p w14:paraId="7C438EEC" w14:textId="55212F18" w:rsidR="00860B0B" w:rsidRDefault="00860B0B">
      <w:pPr>
        <w:spacing w:before="0" w:after="200"/>
        <w:ind w:left="0"/>
        <w:contextualSpacing/>
      </w:pPr>
      <w:r>
        <w:t xml:space="preserve">In cazul </w:t>
      </w:r>
      <w:r w:rsidR="00EA0A16" w:rsidRPr="00EA0A16">
        <w:rPr>
          <w:b/>
          <w:bCs/>
        </w:rPr>
        <w:t>g</w:t>
      </w:r>
      <w:r w:rsidRPr="00EA0A16">
        <w:rPr>
          <w:b/>
          <w:bCs/>
        </w:rPr>
        <w:t xml:space="preserve">ospodăriilor </w:t>
      </w:r>
      <w:r w:rsidR="005F61E2" w:rsidRPr="005F61E2">
        <w:t>care propun proiecte de producere a energiei</w:t>
      </w:r>
      <w:r w:rsidR="005F61E2">
        <w:t>, acestea se vor elabora exclusiv</w:t>
      </w:r>
      <w:r w:rsidR="005F61E2" w:rsidRPr="005F61E2">
        <w:t xml:space="preserve"> în scopul consumului propriu</w:t>
      </w:r>
      <w:r w:rsidR="005F61E2">
        <w:t>.</w:t>
      </w:r>
    </w:p>
    <w:p w14:paraId="3A61745F" w14:textId="77777777" w:rsidR="00A657B7" w:rsidRDefault="00A657B7">
      <w:pPr>
        <w:spacing w:before="0" w:after="200"/>
        <w:ind w:left="0"/>
        <w:contextualSpacing/>
      </w:pPr>
    </w:p>
    <w:p w14:paraId="32C483D9" w14:textId="4C2EDA52" w:rsidR="00761665" w:rsidRDefault="00761665">
      <w:pPr>
        <w:spacing w:before="0" w:after="200"/>
        <w:ind w:left="0"/>
        <w:contextualSpacing/>
      </w:pPr>
      <w:r w:rsidRPr="00761665">
        <w:t>Eventuale venituri obținute vor fi direcționate pentru acoperirea costurilor de întreținere și mentenanță specifice comunității de energie, precum și pentru cheltuielile din cadrul procesului de creare a acestei comunități, dacă se consideră necesar.</w:t>
      </w:r>
      <w:r>
        <w:t xml:space="preserve"> </w:t>
      </w:r>
    </w:p>
    <w:p w14:paraId="47BA4092" w14:textId="264C7685" w:rsidR="00A657B7" w:rsidRDefault="00245051">
      <w:pPr>
        <w:spacing w:before="0" w:after="200"/>
        <w:ind w:left="0"/>
        <w:contextualSpacing/>
        <w:rPr>
          <w:i/>
        </w:rPr>
      </w:pPr>
      <w:r>
        <w:rPr>
          <w:i/>
        </w:rPr>
        <w:t>În acest sens, solicitanții de finanţare pentru realizarea de capacități de producere energie din SRE pentru consum propriu, vor declara la cererea de finanţare scopul producerii de energie</w:t>
      </w:r>
      <w:r w:rsidR="00761665">
        <w:rPr>
          <w:i/>
        </w:rPr>
        <w:t xml:space="preserve"> și va estima în analiza privind necesarul de consum exclusiv energia necesară pentru consumul propriu, conform mediei din ultimele 12 luni (la fiecare loc de consum unde se implementează investiția)</w:t>
      </w:r>
      <w:r>
        <w:rPr>
          <w:i/>
        </w:rPr>
        <w:t>.</w:t>
      </w:r>
    </w:p>
    <w:p w14:paraId="4F4BF5A2" w14:textId="77777777" w:rsidR="00A657B7" w:rsidRDefault="00A657B7">
      <w:pPr>
        <w:ind w:left="0"/>
        <w:rPr>
          <w:color w:val="FF0000"/>
        </w:rPr>
      </w:pPr>
    </w:p>
    <w:p w14:paraId="301B2477" w14:textId="77777777" w:rsidR="00A657B7" w:rsidRDefault="00245051">
      <w:pPr>
        <w:pStyle w:val="Heading2"/>
        <w:numPr>
          <w:ilvl w:val="1"/>
          <w:numId w:val="3"/>
        </w:numPr>
      </w:pPr>
      <w:bookmarkStart w:id="71" w:name="_Toc143499306"/>
      <w:bookmarkStart w:id="72" w:name="_Toc213405548"/>
      <w:r>
        <w:t>Reguli privind instrumentele financiare (NA)</w:t>
      </w:r>
      <w:bookmarkEnd w:id="71"/>
      <w:bookmarkEnd w:id="72"/>
    </w:p>
    <w:p w14:paraId="1C52B031" w14:textId="77777777" w:rsidR="00A657B7" w:rsidRDefault="00245051">
      <w:pPr>
        <w:pStyle w:val="Heading2"/>
        <w:numPr>
          <w:ilvl w:val="1"/>
          <w:numId w:val="3"/>
        </w:numPr>
      </w:pPr>
      <w:bookmarkStart w:id="73" w:name="_Toc143499307"/>
      <w:bookmarkStart w:id="74" w:name="_Toc213405549"/>
      <w:r>
        <w:t>Acțiuni interregionale, transfrontaliere și transnaționale (NA)</w:t>
      </w:r>
      <w:bookmarkEnd w:id="73"/>
      <w:bookmarkEnd w:id="74"/>
    </w:p>
    <w:p w14:paraId="2B3DFBCD" w14:textId="77777777" w:rsidR="00A657B7" w:rsidRDefault="00245051">
      <w:pPr>
        <w:pStyle w:val="Heading2"/>
        <w:numPr>
          <w:ilvl w:val="1"/>
          <w:numId w:val="3"/>
        </w:numPr>
      </w:pPr>
      <w:bookmarkStart w:id="75" w:name="_Toc143499308"/>
      <w:bookmarkStart w:id="76" w:name="_Toc213405550"/>
      <w:r>
        <w:t>Principii orizontale</w:t>
      </w:r>
      <w:bookmarkEnd w:id="75"/>
      <w:bookmarkEnd w:id="76"/>
    </w:p>
    <w:p w14:paraId="03F1C390" w14:textId="77777777" w:rsidR="00A657B7" w:rsidRDefault="00245051">
      <w:pPr>
        <w:spacing w:after="0"/>
        <w:ind w:left="0"/>
      </w:pPr>
      <w:r>
        <w:t xml:space="preserve">În procesul de pregătire, verificare, implementare și durabilitate a proiectului, solicitantul are obligația de a respecta legislația națională și comunitară aplicabilă în următoarele domenii: </w:t>
      </w:r>
    </w:p>
    <w:p w14:paraId="6CE827DA" w14:textId="77777777" w:rsidR="00A657B7" w:rsidRDefault="00245051">
      <w:pPr>
        <w:pStyle w:val="ListParagraph"/>
        <w:numPr>
          <w:ilvl w:val="0"/>
          <w:numId w:val="10"/>
        </w:numPr>
        <w:spacing w:before="0" w:after="0"/>
      </w:pPr>
      <w:r>
        <w:t xml:space="preserve">drepturile fundamentale ale omului așa cum sunt definite în Carta drepturilor fundamentale a Uniunii Europene, </w:t>
      </w:r>
    </w:p>
    <w:p w14:paraId="214DCD69" w14:textId="77777777" w:rsidR="00A657B7" w:rsidRDefault="00245051">
      <w:pPr>
        <w:pStyle w:val="ListParagraph"/>
        <w:numPr>
          <w:ilvl w:val="0"/>
          <w:numId w:val="10"/>
        </w:numPr>
        <w:spacing w:before="0" w:after="0"/>
      </w:pPr>
      <w:r>
        <w:t>egalitatea de șanse între femei și bărbați,</w:t>
      </w:r>
    </w:p>
    <w:p w14:paraId="40CDE852" w14:textId="77777777" w:rsidR="00A657B7" w:rsidRDefault="00245051">
      <w:pPr>
        <w:pStyle w:val="ListParagraph"/>
        <w:numPr>
          <w:ilvl w:val="0"/>
          <w:numId w:val="10"/>
        </w:numPr>
        <w:spacing w:before="0" w:after="0"/>
      </w:pPr>
      <w:r>
        <w:t>prevenirea și combaterea discriminării,</w:t>
      </w:r>
    </w:p>
    <w:p w14:paraId="36566DF4" w14:textId="77777777" w:rsidR="00A657B7" w:rsidRDefault="00245051">
      <w:pPr>
        <w:pStyle w:val="ListParagraph"/>
        <w:numPr>
          <w:ilvl w:val="0"/>
          <w:numId w:val="10"/>
        </w:numPr>
        <w:spacing w:before="0" w:after="0"/>
      </w:pPr>
      <w:r>
        <w:t>drepturile persoanelor cu dizabilități așa cum sunt definite în Carta drepturilor persoanelor cu dizabilități, include și accesibilitatea,</w:t>
      </w:r>
    </w:p>
    <w:p w14:paraId="2CC4ED27" w14:textId="77777777" w:rsidR="00A657B7" w:rsidRDefault="00245051">
      <w:pPr>
        <w:pStyle w:val="ListParagraph"/>
        <w:numPr>
          <w:ilvl w:val="0"/>
          <w:numId w:val="10"/>
        </w:numPr>
        <w:spacing w:before="0" w:after="0"/>
      </w:pPr>
      <w:r>
        <w:lastRenderedPageBreak/>
        <w:t>dezvoltarea durabilă, include: utilizarea eficientă a resurselor și principiul ”poluatorul plătește”,</w:t>
      </w:r>
    </w:p>
    <w:p w14:paraId="19CABDE6" w14:textId="77777777" w:rsidR="00A657B7" w:rsidRDefault="00245051">
      <w:pPr>
        <w:pStyle w:val="ListParagraph"/>
        <w:numPr>
          <w:ilvl w:val="0"/>
          <w:numId w:val="10"/>
        </w:numPr>
        <w:spacing w:before="0" w:after="0"/>
      </w:pPr>
      <w:r>
        <w:t>principiul de a nu prejudicia în mod semnificativ, include imunizarea infrastructurilor la schimbările climatice (detaliat mai jos)</w:t>
      </w:r>
    </w:p>
    <w:p w14:paraId="11E3D409" w14:textId="77777777" w:rsidR="00A657B7" w:rsidRDefault="00245051">
      <w:pPr>
        <w:ind w:left="0"/>
      </w:pPr>
      <w: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p w14:paraId="6C4A0893" w14:textId="77777777" w:rsidR="00A657B7" w:rsidRDefault="00245051">
      <w:pPr>
        <w:ind w:left="0"/>
      </w:pPr>
      <w:r>
        <w:t xml:space="preserve">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 </w:t>
      </w:r>
    </w:p>
    <w:p w14:paraId="6F37EF27" w14:textId="77777777" w:rsidR="00A657B7" w:rsidRDefault="00245051">
      <w:pPr>
        <w:ind w:left="0"/>
      </w:pPr>
      <w:r>
        <w:t>De asemenea, proiectul va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w:t>
      </w:r>
    </w:p>
    <w:p w14:paraId="4FDE9FD5" w14:textId="77777777" w:rsidR="00A657B7" w:rsidRDefault="00245051">
      <w:pPr>
        <w:spacing w:after="0"/>
        <w:ind w:left="0"/>
      </w:pPr>
      <w:r>
        <w:t>În plus, printre temele orizontale, în funcţie de specificul proiectelor finanţate se mai numără accesibilitatea, protecţia mediului si eficienţa energetică, inclusiv calitatea aerului, durabilitatea, poluatorul plăteşte şi reciclarea deșeurilor, protecţia biodiversităţii şi ecosistemului, protecția împotriva dezastrelor naturale, schimbarea demografică, societatea informațională şi tehnologiile inovative și specializarea inteligentă.</w:t>
      </w:r>
    </w:p>
    <w:p w14:paraId="2AA6812D" w14:textId="77777777" w:rsidR="00A657B7" w:rsidRDefault="00A657B7">
      <w:pPr>
        <w:ind w:left="0"/>
      </w:pPr>
    </w:p>
    <w:p w14:paraId="25BC5FB4" w14:textId="77777777" w:rsidR="00CC5C88" w:rsidRDefault="00245051">
      <w:pPr>
        <w:pStyle w:val="Heading2"/>
        <w:numPr>
          <w:ilvl w:val="1"/>
          <w:numId w:val="3"/>
        </w:numPr>
      </w:pPr>
      <w:bookmarkStart w:id="77" w:name="_Toc213405551"/>
      <w:bookmarkStart w:id="78" w:name="_Toc143499309"/>
      <w:r>
        <w:t>Aspecte de mediu</w:t>
      </w:r>
      <w:r w:rsidR="00CC5C88">
        <w:t>.</w:t>
      </w:r>
      <w:bookmarkEnd w:id="77"/>
    </w:p>
    <w:p w14:paraId="50B66A2C" w14:textId="2294137D" w:rsidR="00A657B7" w:rsidRDefault="00CC5C88" w:rsidP="00CC5C88">
      <w:r>
        <w:t xml:space="preserve"> Aplicarea principiului DNSH. Imunizarea la schimbările climatice</w:t>
      </w:r>
      <w:bookmarkEnd w:id="78"/>
    </w:p>
    <w:p w14:paraId="0113F720" w14:textId="0A4E333C" w:rsidR="00A657B7" w:rsidRDefault="00245051">
      <w:pPr>
        <w:tabs>
          <w:tab w:val="left" w:pos="10065"/>
        </w:tabs>
        <w:spacing w:after="0"/>
        <w:ind w:left="0" w:right="-51"/>
      </w:pPr>
      <w:r>
        <w:t>In conformitate cu prevederile art. 73, alin. 2, lit. e) din Regulamentul UE nr. 1060/2021 cu modificările si 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75FC31A2" w14:textId="77777777" w:rsidR="00A657B7" w:rsidRDefault="00245051">
      <w:pPr>
        <w:tabs>
          <w:tab w:val="left" w:pos="10065"/>
        </w:tabs>
        <w:spacing w:after="0"/>
        <w:ind w:left="0" w:right="-51"/>
      </w:pPr>
      <w:r>
        <w:rPr>
          <w:b/>
          <w:bCs/>
        </w:rPr>
        <w:t>Evaluarea impactului asupra mediului</w:t>
      </w:r>
      <w:r>
        <w:t xml:space="preserve"> trebuie  realizată în conformitate cu prevederile legislației din domeniu. Autoritățile competente pentru protecția mediului (ACPM</w:t>
      </w:r>
      <w:r>
        <w:rPr>
          <w:rStyle w:val="FootnoteReference"/>
        </w:rPr>
        <w:footnoteReference w:id="2"/>
      </w:r>
      <w:r>
        <w:t xml:space="preserve">)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6708F7BB" w14:textId="77777777" w:rsidR="00A657B7" w:rsidRDefault="00245051">
      <w:pPr>
        <w:spacing w:after="0"/>
        <w:ind w:left="0"/>
      </w:pPr>
      <w:r>
        <w:t>Solicitanții de finanțare, care propun proiecte de investiții / activități în interiorul și / sau în vecinătatea siturilor Natura 2000, se vor asigura  că documentațiile elaborate în procedura de evaluare a impactului asupra mediului</w:t>
      </w:r>
      <w:r>
        <w:rPr>
          <w:rStyle w:val="FootnoteReference"/>
        </w:rPr>
        <w:footnoteReference w:id="3"/>
      </w:r>
      <w:r>
        <w:t>(EIM)  conțin:</w:t>
      </w:r>
    </w:p>
    <w:p w14:paraId="5E14AB41" w14:textId="77777777" w:rsidR="00A657B7" w:rsidRDefault="00245051">
      <w:pPr>
        <w:pStyle w:val="ListParagraph"/>
        <w:numPr>
          <w:ilvl w:val="0"/>
          <w:numId w:val="22"/>
        </w:numPr>
        <w:tabs>
          <w:tab w:val="left" w:pos="1560"/>
          <w:tab w:val="left" w:pos="1620"/>
          <w:tab w:val="left" w:pos="1710"/>
        </w:tabs>
        <w:spacing w:before="0" w:after="0"/>
        <w:ind w:left="1890" w:hanging="270"/>
      </w:pPr>
      <w:r>
        <w:t>toate informațiile prevăzute de legislația în vigoare</w:t>
      </w:r>
      <w:r>
        <w:rPr>
          <w:rStyle w:val="FootnoteReference"/>
        </w:rPr>
        <w:footnoteReference w:id="4"/>
      </w:r>
      <w:r>
        <w:t>, cu accent asupra prezentării potențialului impact al proiectului asupra obiectivelor specifice/măsurilor minime de conservare stabilite pentru speciile și habitatele pentru care au fost desemnate siturile.</w:t>
      </w:r>
    </w:p>
    <w:p w14:paraId="59FAD326" w14:textId="77777777" w:rsidR="00A657B7" w:rsidRDefault="00245051">
      <w:pPr>
        <w:pStyle w:val="ListParagraph"/>
        <w:numPr>
          <w:ilvl w:val="0"/>
          <w:numId w:val="23"/>
        </w:numPr>
        <w:tabs>
          <w:tab w:val="left" w:pos="1560"/>
          <w:tab w:val="left" w:pos="1620"/>
          <w:tab w:val="left" w:pos="1710"/>
        </w:tabs>
        <w:spacing w:before="0" w:after="0"/>
        <w:ind w:left="1890" w:hanging="270"/>
      </w:pPr>
      <w:r>
        <w:t>evaluarea impactului cumulat (între investițiile propuse, existente sau reglementate) asupra factorilor de mediu, inclusiv la nivelul siturilor Natura 2000.</w:t>
      </w:r>
    </w:p>
    <w:p w14:paraId="06834049" w14:textId="77777777" w:rsidR="00A657B7" w:rsidRDefault="00245051">
      <w:pPr>
        <w:spacing w:after="0"/>
        <w:ind w:left="0"/>
      </w:pPr>
      <w:r>
        <w:t xml:space="preserve">În vederea respectării cerințelor privind analiza impactului asupra siturilor Natura 2000, Agenția Națională  pentru Arii Naturale Protejate (ANANP) va stabili obiectivele/măsurile de conservare specifice siturilor Natura </w:t>
      </w:r>
      <w:r>
        <w:lastRenderedPageBreak/>
        <w:t>2000. Acolo unde este cazul, solicitanții se vor asigura  că documentația de mediu demonstrează respectarea prevederilor art. 6.3 din Directiva 92/43/CEE a Consiliului din 21 mai 1992 privind conservarea habitatelor naturale și a speciilor de faună și floră sălbatică. Pentru proiectele la care ACPM decide ca investițiile propuse nu se supun evaluării adecvate, autoritatea competentă pentru protecția mediului va emite „Declarația autorității responsabile cu monitorizarea siturilor Natura 2000.”</w:t>
      </w:r>
    </w:p>
    <w:p w14:paraId="7445DE13" w14:textId="77777777" w:rsidR="00A657B7" w:rsidRDefault="00245051">
      <w:pPr>
        <w:tabs>
          <w:tab w:val="left" w:pos="10065"/>
        </w:tabs>
        <w:spacing w:after="0"/>
        <w:ind w:left="0" w:right="-51"/>
      </w:pPr>
      <w:r>
        <w:rPr>
          <w:b/>
          <w:bCs/>
        </w:rPr>
        <w:t>La depunerea cererii de finanțare se va depune decizia etapei de încadrare în procedura de evaluare a impactului asupra mediului</w:t>
      </w:r>
      <w:r>
        <w:t xml:space="preserve">. </w:t>
      </w:r>
    </w:p>
    <w:p w14:paraId="37656987" w14:textId="77777777" w:rsidR="00A657B7" w:rsidRDefault="00245051">
      <w:pPr>
        <w:spacing w:after="0"/>
        <w:ind w:left="0"/>
        <w:rPr>
          <w:b/>
        </w:rPr>
      </w:pPr>
      <w:r>
        <w:rPr>
          <w:b/>
        </w:rPr>
        <w:t>Principiul a nu prejudicia în mod semnificativ (include imunizarea infrastructurilor la schimbările climatice)</w:t>
      </w:r>
    </w:p>
    <w:p w14:paraId="488E25CD" w14:textId="77777777" w:rsidR="00A657B7" w:rsidRDefault="00245051">
      <w:pPr>
        <w:spacing w:after="0"/>
        <w:ind w:left="0"/>
      </w:pPr>
      <w:r>
        <w:t xml:space="preserve">În cadrul proiectelor finanțate, vor fi analizate și respectate criteriile care determina dacă o activitate se califică drept durabilă din punctul de vedere al mediului și dacă respectă principiul </w:t>
      </w:r>
      <w:r>
        <w:rPr>
          <w:i/>
        </w:rPr>
        <w:t>A nu prejudicia în mod semnificativ</w:t>
      </w:r>
      <w:r>
        <w:t xml:space="preserve"> (DNSH), în conformitate cu Regulamentul (UE) 2020/852 (”Regulamentul privind taxonomia”).</w:t>
      </w:r>
    </w:p>
    <w:p w14:paraId="104D0770" w14:textId="77777777" w:rsidR="00A657B7" w:rsidRDefault="00245051">
      <w:pPr>
        <w:spacing w:after="0"/>
        <w:ind w:left="0"/>
      </w:pPr>
      <w: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7622FE9E" w14:textId="77777777" w:rsidR="00A657B7" w:rsidRDefault="00245051">
      <w:pPr>
        <w:pStyle w:val="ListParagraph"/>
        <w:numPr>
          <w:ilvl w:val="0"/>
          <w:numId w:val="11"/>
        </w:numPr>
        <w:spacing w:before="0" w:after="0"/>
      </w:pPr>
      <w:r>
        <w:t>atenuarea schimbărilor climatice (imunizarea infrastructurii la schimbările climatice);</w:t>
      </w:r>
    </w:p>
    <w:p w14:paraId="378EF6AC" w14:textId="77777777" w:rsidR="00A657B7" w:rsidRDefault="00245051">
      <w:pPr>
        <w:pStyle w:val="ListParagraph"/>
        <w:numPr>
          <w:ilvl w:val="0"/>
          <w:numId w:val="11"/>
        </w:numPr>
        <w:spacing w:before="0" w:after="0" w:line="259" w:lineRule="auto"/>
      </w:pPr>
      <w:r>
        <w:t xml:space="preserve">adaptarea la schimbările climatice (imunizarea infrastructurii la schimbările climatice); </w:t>
      </w:r>
    </w:p>
    <w:p w14:paraId="029A0752" w14:textId="77777777" w:rsidR="00A657B7" w:rsidRDefault="00245051">
      <w:pPr>
        <w:pStyle w:val="ListParagraph"/>
        <w:numPr>
          <w:ilvl w:val="0"/>
          <w:numId w:val="11"/>
        </w:numPr>
        <w:spacing w:before="0" w:after="0" w:line="259" w:lineRule="auto"/>
      </w:pPr>
      <w:r>
        <w:t xml:space="preserve">utilizarea durabilă și protecția resurselor de apă și a celor marine; </w:t>
      </w:r>
    </w:p>
    <w:p w14:paraId="6A17784E" w14:textId="77777777" w:rsidR="00A657B7" w:rsidRDefault="00245051">
      <w:pPr>
        <w:pStyle w:val="ListParagraph"/>
        <w:numPr>
          <w:ilvl w:val="0"/>
          <w:numId w:val="11"/>
        </w:numPr>
        <w:spacing w:before="0" w:after="0" w:line="259" w:lineRule="auto"/>
      </w:pPr>
      <w:r>
        <w:t xml:space="preserve">tranziția către o economie circulară; </w:t>
      </w:r>
    </w:p>
    <w:p w14:paraId="216F25ED" w14:textId="77777777" w:rsidR="00A657B7" w:rsidRDefault="00245051">
      <w:pPr>
        <w:pStyle w:val="ListParagraph"/>
        <w:numPr>
          <w:ilvl w:val="0"/>
          <w:numId w:val="11"/>
        </w:numPr>
        <w:spacing w:before="0" w:after="0" w:line="259" w:lineRule="auto"/>
      </w:pPr>
      <w:r>
        <w:t xml:space="preserve">prevenirea și controlul poluării; </w:t>
      </w:r>
    </w:p>
    <w:p w14:paraId="400EBA8E" w14:textId="77777777" w:rsidR="00A657B7" w:rsidRDefault="00245051">
      <w:pPr>
        <w:pStyle w:val="ListParagraph"/>
        <w:numPr>
          <w:ilvl w:val="0"/>
          <w:numId w:val="11"/>
        </w:numPr>
        <w:spacing w:before="0" w:after="0" w:line="259" w:lineRule="auto"/>
      </w:pPr>
      <w:r>
        <w:t>protecția și refacerea biodiversității și a ecosistemelor.</w:t>
      </w:r>
    </w:p>
    <w:p w14:paraId="1017C20A" w14:textId="77777777" w:rsidR="00A657B7" w:rsidRDefault="00245051">
      <w:pPr>
        <w:ind w:left="0"/>
      </w:pPr>
      <w:r>
        <w:t xml:space="preserve">Integrarea în cadrul proiectelor a elementelor care vor demonstra că se respectă principiului DNSH pentru fiecare obiectiv de mediu </w:t>
      </w:r>
      <w:r>
        <w:rPr>
          <w:b/>
          <w:bCs/>
        </w:rPr>
        <w:t>este obligatorie.</w:t>
      </w:r>
      <w:r>
        <w:t xml:space="preserve"> Se va indica dacă necesită o evaluare de fond și/sau cazul în care nu este necesară o astfel de evaluare se vor prezenta elemente justificative. Principiul DNSH va fi 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w:t>
      </w:r>
    </w:p>
    <w:p w14:paraId="7A7BB50C" w14:textId="77777777" w:rsidR="00A657B7" w:rsidRDefault="00245051">
      <w:pPr>
        <w:ind w:left="0"/>
      </w:pPr>
      <w:r>
        <w:t xml:space="preserve">Respectarea principului DNSH se va reflecta în actul de reglementare emis de autoritatea publică pentru protecția mediului în conformitate cu art. 9 alin. 6 din Legea nr. 292/2018 privind evaluarea impactului anumitor proiecte publice și private asupra mediului. Astfel, solicitantul în cadrul memoriului de prezentare va include la secțiunea </w:t>
      </w:r>
      <w:r>
        <w:rPr>
          <w:i/>
        </w:rPr>
        <w:t xml:space="preserve">VI. Descrierea tuturor efectelor semnificative posibile asupra mediului ale proiectului </w:t>
      </w:r>
      <w:r>
        <w:t>ș</w:t>
      </w:r>
      <w:r>
        <w:t>i informațiile cuprinse în Lista de auto-evaluare DNSH, astfel încât să se evite suprapunerea evaluărilor.</w:t>
      </w:r>
    </w:p>
    <w:p w14:paraId="76DD8F22" w14:textId="77777777" w:rsidR="00A657B7" w:rsidRDefault="00245051">
      <w:pPr>
        <w:ind w:left="0"/>
      </w:pPr>
      <w:r>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rsidR="00A657B7">
        <w:fldChar w:fldCharType="begin"/>
      </w:r>
      <w:r w:rsidR="00A657B7">
        <w:instrText>HYPERLINK "http://www.mmediu.ro/categorie/eia/134"</w:instrText>
      </w:r>
      <w:r w:rsidR="00A657B7">
        <w:fldChar w:fldCharType="separate"/>
      </w:r>
      <w:r w:rsidR="00A657B7">
        <w:rPr>
          <w:u w:val="single"/>
        </w:rPr>
        <w:t>http://www.mmediu.ro/categorie/eia/134</w:t>
      </w:r>
      <w:r w:rsidR="00A657B7">
        <w:fldChar w:fldCharType="end"/>
      </w:r>
      <w:r>
        <w:t xml:space="preserve"> . </w:t>
      </w:r>
    </w:p>
    <w:p w14:paraId="2CC8FC45" w14:textId="77777777" w:rsidR="00A657B7" w:rsidRDefault="00245051">
      <w:pPr>
        <w:ind w:left="0"/>
      </w:pPr>
      <w:r>
        <w:t xml:space="preserve">Pentru proiectele de infrastructură care se supun derulării procedurii de evaluare a impactului asupra mediului se vor avea în vedere prevederile </w:t>
      </w:r>
      <w:r>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t xml:space="preserve"> coroborat cu prevederile documentului Orientările tehnice referitoare la imunizarea infrastructurii la schimbările climatice în perioada 2021 - 2027 (2021/C 373/01). Imunizarea la schimbările climatice se va avea în vedere</w:t>
      </w:r>
      <w:r>
        <w:t xml:space="preserve"> pe întreg ciclul de implementare a proiectului, inclusiv pe perioada în care se asigură caracterul durabil al operațiunii, pe perioada de exploatare și scoatere din uz a investiției.</w:t>
      </w:r>
    </w:p>
    <w:p w14:paraId="3582B2B7" w14:textId="77777777" w:rsidR="00A657B7" w:rsidRDefault="00245051">
      <w:pPr>
        <w:spacing w:before="0" w:after="0" w:line="276" w:lineRule="auto"/>
        <w:ind w:left="0"/>
      </w:pPr>
      <w:r>
        <w:t xml:space="preserve">În etapa de elaborare a studiului de fezabilitate și a analizei opțiunilor se vor lua în considerare și aspectele privind adaptarea la schimbările climatice și atenuarea efectelor acestora și rezistența în fața dezastrelor. </w:t>
      </w:r>
      <w:r>
        <w:rPr>
          <w:b/>
        </w:rPr>
        <w:t>Ca urmare acest impact se va reflecta în acordul/avizul de mediu și autorizațiile de construcție.</w:t>
      </w:r>
      <w:r>
        <w:t xml:space="preserve"> </w:t>
      </w:r>
    </w:p>
    <w:p w14:paraId="720EF38A" w14:textId="77777777" w:rsidR="00A657B7" w:rsidRDefault="00A657B7">
      <w:pPr>
        <w:spacing w:after="0"/>
      </w:pPr>
    </w:p>
    <w:p w14:paraId="42A1E5E6" w14:textId="77777777" w:rsidR="00A657B7" w:rsidRDefault="00245051">
      <w:pPr>
        <w:pStyle w:val="Heading2"/>
        <w:numPr>
          <w:ilvl w:val="1"/>
          <w:numId w:val="3"/>
        </w:numPr>
      </w:pPr>
      <w:bookmarkStart w:id="79" w:name="_Toc143499310"/>
      <w:bookmarkStart w:id="80" w:name="_Toc213405552"/>
      <w:r>
        <w:lastRenderedPageBreak/>
        <w:t>Caracterul durabil al proiectului</w:t>
      </w:r>
      <w:bookmarkEnd w:id="79"/>
      <w:bookmarkEnd w:id="80"/>
    </w:p>
    <w:p w14:paraId="57FD90A1" w14:textId="77777777" w:rsidR="00A657B7" w:rsidRDefault="00245051">
      <w:pPr>
        <w:spacing w:after="0"/>
        <w:ind w:left="0"/>
      </w:pPr>
      <w:r>
        <w:rPr>
          <w:b/>
          <w:bCs/>
        </w:rPr>
        <w:t>Dezvoltarea durabilă</w:t>
      </w:r>
      <w: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posibilitățile de creştere ale generațiilor viitoare. Dezvoltarea durabilă include trei aspecte – un aspect economic, unul social şi unul de mediu. </w:t>
      </w:r>
    </w:p>
    <w:p w14:paraId="35A255CB" w14:textId="77777777" w:rsidR="00A657B7" w:rsidRDefault="00245051">
      <w:pPr>
        <w:spacing w:after="0"/>
        <w:ind w:left="0"/>
        <w:rPr>
          <w:b/>
        </w:rPr>
      </w:pPr>
      <w:r>
        <w:t>“Strategia națională pentru dezvoltarea durabilă a României 2030” (SNDDR 2030), adoptată prin HG nr. 877/9.11.2018, susține dezvoltarea României pe trei piloni principali, respectiv economic, social și de mediu. În acest sens, prin proiectele și investițiile propuse a fi finanțate trebuie să se genereze creștere economică ștrategia națională pentru dezvoltarea durabilă a României 2030” (SNDDR 2030), adoptată prin HG nr. 877/9.11.2018, susține dezvoltarea României. Pornind de la elementele de mai sus, proiec</w:t>
      </w:r>
      <w:r>
        <w:t xml:space="preserve">tele trebuie să descrie la modul concret și să demonstreze modul în care finanțarea investiției respective contribuie la obiective politicii de dezvoltare durabilă . De asemenea, proiectele respective trebuie să justifice și încadrarea în obiectivele și principiile promovate prin </w:t>
      </w:r>
      <w:r>
        <w:rPr>
          <w:b/>
        </w:rPr>
        <w:t xml:space="preserve">SNDDR 2030, document publicat pe site-ul Departamentul pentru Dezvoltare Durabilă din cadrul Guvernului României  inclusiv privind protecția mediului și combaterea schimbărilor climatice. </w:t>
      </w:r>
      <w:r>
        <w:rPr>
          <w:rStyle w:val="FootnoteReference"/>
          <w:b/>
        </w:rPr>
        <w:footnoteReference w:id="5"/>
      </w:r>
    </w:p>
    <w:p w14:paraId="5AAEF314" w14:textId="6AEA275B" w:rsidR="004F1B1C" w:rsidRDefault="00245051">
      <w:pPr>
        <w:spacing w:after="0"/>
        <w:ind w:left="0"/>
        <w:rPr>
          <w:b/>
        </w:rPr>
      </w:pPr>
      <w:r>
        <w:rPr>
          <w:b/>
        </w:rPr>
        <w:t xml:space="preserve">Investițiile privind </w:t>
      </w:r>
      <w:bookmarkStart w:id="81" w:name="_Hlk213405995"/>
      <w:r>
        <w:rPr>
          <w:b/>
        </w:rPr>
        <w:t xml:space="preserve">realizarea capacităților de producţie, </w:t>
      </w:r>
      <w:r w:rsidR="00F137FD">
        <w:rPr>
          <w:b/>
        </w:rPr>
        <w:t xml:space="preserve">conectarea acestora </w:t>
      </w:r>
      <w:r w:rsidR="004F1B1C">
        <w:rPr>
          <w:b/>
        </w:rPr>
        <w:t xml:space="preserve">bateria de </w:t>
      </w:r>
      <w:r w:rsidR="004F1B1C" w:rsidRPr="004F1B1C">
        <w:rPr>
          <w:b/>
        </w:rPr>
        <w:t>stocare</w:t>
      </w:r>
      <w:r w:rsidR="004F1B1C">
        <w:rPr>
          <w:b/>
        </w:rPr>
        <w:t>/</w:t>
      </w:r>
      <w:r w:rsidR="004F1B1C" w:rsidRPr="004F1B1C">
        <w:rPr>
          <w:b/>
        </w:rPr>
        <w:t xml:space="preserve"> la sistemul SEN/ locul de consum</w:t>
      </w:r>
      <w:bookmarkEnd w:id="81"/>
      <w:r w:rsidR="004F1B1C" w:rsidRPr="004F1B1C">
        <w:rPr>
          <w:b/>
        </w:rPr>
        <w:t xml:space="preserve"> </w:t>
      </w:r>
      <w:r w:rsidR="004F1B1C">
        <w:rPr>
          <w:b/>
        </w:rPr>
        <w:t>trebuie să contribuie la diversificarea economică durabilă a teritoriilor afectate de procesul de tranziție justă.</w:t>
      </w:r>
    </w:p>
    <w:p w14:paraId="43E23619" w14:textId="77777777" w:rsidR="00A657B7" w:rsidRDefault="00245051">
      <w:pPr>
        <w:ind w:left="0"/>
      </w:pPr>
      <w:r>
        <w:t xml:space="preserve">De asemenea, </w:t>
      </w:r>
      <w:r>
        <w:rPr>
          <w:b/>
          <w:bCs/>
        </w:rPr>
        <w:t>caracterul durabil al proiectelor</w:t>
      </w:r>
      <w:r>
        <w:t xml:space="preserve"> este definit  în conformitate cu prevederile art. 65 din Regulamentul (UE) 1060/2021 și se va referi la menținerea activităților pe o perioadă de trei ani de la efectuarea plății finale către beneficiar sau în termenul prevăzut de normele privind ajutoarele de stat, oricare intervine ultimul. </w:t>
      </w:r>
    </w:p>
    <w:p w14:paraId="58423E43" w14:textId="77777777" w:rsidR="00A657B7" w:rsidRDefault="00245051">
      <w:pPr>
        <w:ind w:left="0"/>
      </w:pPr>
      <w:r>
        <w:t>Pe perioada de durabilitate a proiectului, beneficiarul trebuie să respecte următoarele:</w:t>
      </w:r>
    </w:p>
    <w:p w14:paraId="005B80BD" w14:textId="77777777" w:rsidR="00A657B7" w:rsidRDefault="00245051">
      <w:pPr>
        <w:numPr>
          <w:ilvl w:val="0"/>
          <w:numId w:val="5"/>
        </w:numPr>
        <w:spacing w:after="0"/>
      </w:pPr>
      <w:r>
        <w:t>să nu înceteze activitatea sau să nu o transfere în afara regiunii de nivel NUTS 3 în care a primit sprijin/sau a teritoriului definit la nivelul apelului de proiecte;</w:t>
      </w:r>
    </w:p>
    <w:p w14:paraId="51667174" w14:textId="77777777" w:rsidR="00A657B7" w:rsidRDefault="00245051">
      <w:pPr>
        <w:numPr>
          <w:ilvl w:val="0"/>
          <w:numId w:val="5"/>
        </w:numPr>
        <w:spacing w:before="0" w:after="0"/>
      </w:pPr>
      <w:r>
        <w:t>să nu realizeze o modificare a proprietății asupra unui element de infrastructură care conferă un avantaj nejustificat unei întreprinderi sau unui organism public;</w:t>
      </w:r>
    </w:p>
    <w:p w14:paraId="621B6215" w14:textId="77777777" w:rsidR="00A657B7" w:rsidRDefault="00245051">
      <w:pPr>
        <w:numPr>
          <w:ilvl w:val="0"/>
          <w:numId w:val="5"/>
        </w:numPr>
        <w:spacing w:before="0"/>
      </w:pPr>
      <w:r>
        <w:t>să nu realizeze o modificare substanțială care afectează natura, obiectivele sau condițiile de realizare și care ar determina subminarea obiectivelor inițiale ale investiției.</w:t>
      </w:r>
    </w:p>
    <w:p w14:paraId="4F8E99EB" w14:textId="77777777" w:rsidR="00A657B7" w:rsidRDefault="00245051">
      <w:pPr>
        <w:ind w:left="0"/>
      </w:pPr>
      <w: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w:t>
      </w:r>
      <w:r>
        <w:t>i, precum și oricărui organism abilitat să efectueze verificări asupra modului de utilizare a finanțării nerambursabile.</w:t>
      </w:r>
    </w:p>
    <w:p w14:paraId="2CB3A17E" w14:textId="77777777" w:rsidR="00A657B7" w:rsidRDefault="00245051">
      <w:pPr>
        <w:pStyle w:val="Heading2"/>
        <w:numPr>
          <w:ilvl w:val="1"/>
          <w:numId w:val="3"/>
        </w:numPr>
      </w:pPr>
      <w:bookmarkStart w:id="82" w:name="_Toc143499311"/>
      <w:bookmarkStart w:id="83" w:name="_Toc213405553"/>
      <w:r>
        <w:t>Acțiuni menite să garanteze egalitatea de șanse, de gen, incluziunea și nediscriminarea</w:t>
      </w:r>
      <w:bookmarkEnd w:id="82"/>
      <w:bookmarkEnd w:id="83"/>
    </w:p>
    <w:p w14:paraId="02471F71" w14:textId="77777777" w:rsidR="00A657B7" w:rsidRDefault="00A657B7">
      <w:pPr>
        <w:spacing w:before="0" w:after="0"/>
        <w:ind w:left="0"/>
      </w:pPr>
    </w:p>
    <w:p w14:paraId="0A23E9CB"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bookmarkStart w:id="84" w:name="_Toc143499312"/>
      <w:r w:rsidRPr="005F61E2">
        <w:t>În ceea ce privește respectarea principiilor orizontale privind egalitatea de șanse, de gen și</w:t>
      </w:r>
      <w:r w:rsidRPr="005F61E2">
        <w:rPr>
          <w:b/>
        </w:rPr>
        <w:t xml:space="preserve"> </w:t>
      </w:r>
      <w:r w:rsidRPr="005F61E2">
        <w:t>nediscriminarea bazată pe motive precum: sexul, orientarea sexuală, handicapul, vârsta, rasa, originea etnică, naționalitatea şi religia sau convingerile, acestea vor fi avute în vedere în procesul de pregătire a proiectelor, în etapa de contractare, implementare şi pe toată durata de valabilitate a contractului de finanțare.</w:t>
      </w:r>
    </w:p>
    <w:p w14:paraId="1ECCB697"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În cadrul acestui proces, solicitantul se va asigura că respectă:</w:t>
      </w:r>
    </w:p>
    <w:p w14:paraId="2E85736B"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lastRenderedPageBreak/>
        <w:t>legislația națională și comunitară aplicabilă în domeniul egalității de șanse, de gen, nediscriminării și accesibilității pentru persoanele cu dizabilități;</w:t>
      </w:r>
    </w:p>
    <w:p w14:paraId="50A9A6AD"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t>Carta drepturilor fundamentale a Uniunii Europene;</w:t>
      </w:r>
    </w:p>
    <w:p w14:paraId="176C1208" w14:textId="77777777" w:rsidR="005F61E2" w:rsidRPr="005F61E2" w:rsidRDefault="005F61E2">
      <w:pPr>
        <w:numPr>
          <w:ilvl w:val="0"/>
          <w:numId w:val="34"/>
        </w:numPr>
        <w:pBdr>
          <w:top w:val="none" w:sz="0" w:space="0" w:color="auto"/>
          <w:left w:val="none" w:sz="0" w:space="0" w:color="auto"/>
          <w:bottom w:val="none" w:sz="0" w:space="0" w:color="auto"/>
          <w:right w:val="none" w:sz="0" w:space="0" w:color="auto"/>
          <w:between w:val="none" w:sz="0" w:space="0" w:color="auto"/>
        </w:pBdr>
        <w:contextualSpacing/>
      </w:pPr>
      <w:r w:rsidRPr="005F61E2">
        <w:t>Convenția ONU privind drepturile persoanelor cu dizabilități.</w:t>
      </w:r>
    </w:p>
    <w:p w14:paraId="27FC6A2A"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p>
    <w:p w14:paraId="19819C03"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C4ACEE6"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Pentru egalitatea de gen și nediscriminare se vor avea în vedere principiile:</w:t>
      </w:r>
    </w:p>
    <w:p w14:paraId="7CEFFCAE"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remunerare egală pentru muncă egală;</w:t>
      </w:r>
    </w:p>
    <w:p w14:paraId="1DBDA915"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egalitate de șanse și de tratament în materie de încadrare în muncă și relații de muncă;</w:t>
      </w:r>
    </w:p>
    <w:p w14:paraId="100C4680"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acțiuni pozitive pentru capacitarea femeilor și/sau a persoanelor cu dizabilități;</w:t>
      </w:r>
    </w:p>
    <w:p w14:paraId="41F954FF" w14:textId="77777777" w:rsidR="005F61E2" w:rsidRPr="005F61E2" w:rsidRDefault="005F61E2">
      <w:pPr>
        <w:numPr>
          <w:ilvl w:val="0"/>
          <w:numId w:val="35"/>
        </w:numPr>
        <w:pBdr>
          <w:top w:val="none" w:sz="0" w:space="0" w:color="auto"/>
          <w:left w:val="none" w:sz="0" w:space="0" w:color="auto"/>
          <w:bottom w:val="none" w:sz="0" w:space="0" w:color="auto"/>
          <w:right w:val="none" w:sz="0" w:space="0" w:color="auto"/>
          <w:between w:val="none" w:sz="0" w:space="0" w:color="auto"/>
        </w:pBdr>
        <w:spacing w:line="276" w:lineRule="auto"/>
      </w:pPr>
      <w:r w:rsidRPr="005F61E2">
        <w:t>combaterea tuturor formelor de discriminare.</w:t>
      </w:r>
    </w:p>
    <w:p w14:paraId="153E92D5"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Din această perspectivă, proiectele trebuie să descrie și să demonstreze modul în care principiile de mai sus sunt promovate prin  activitățile planificate, detaliindu-se, la modul concret, care sunt măsurile și instrumentele prin care solicitantul va garanta aplicarea respectivelor principii.</w:t>
      </w:r>
    </w:p>
    <w:p w14:paraId="1C93A0D7"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668E1911"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74648D85"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50961A2E"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 xml:space="preserve">Pentru a promova egalitatea de şanse şi tratament se va acorda atenţie accesibilităţii pentru toţi cetăţenii la serviciile, spaţiile şi infrastructura care sunt furnizate sau deschise publicului. </w:t>
      </w:r>
    </w:p>
    <w:p w14:paraId="29774216" w14:textId="77777777" w:rsidR="005F61E2" w:rsidRPr="005F61E2" w:rsidRDefault="005F61E2" w:rsidP="005F61E2">
      <w:pPr>
        <w:pBdr>
          <w:top w:val="none" w:sz="0" w:space="0" w:color="auto"/>
          <w:left w:val="none" w:sz="0" w:space="0" w:color="auto"/>
          <w:bottom w:val="none" w:sz="0" w:space="0" w:color="auto"/>
          <w:right w:val="none" w:sz="0" w:space="0" w:color="auto"/>
          <w:between w:val="none" w:sz="0" w:space="0" w:color="auto"/>
        </w:pBdr>
        <w:ind w:left="0"/>
      </w:pPr>
      <w:r w:rsidRPr="005F61E2">
        <w:t>Asigurarea accesului la mediul fizic existent se va face pe baza adaptării rezonabile prin care pot fi satisfăcute nevoile specifice ale persoanelor cu dizabilități.</w:t>
      </w:r>
    </w:p>
    <w:p w14:paraId="473B1FEB" w14:textId="77777777" w:rsidR="00A657B7" w:rsidRDefault="00245051">
      <w:pPr>
        <w:pStyle w:val="Heading2"/>
        <w:numPr>
          <w:ilvl w:val="1"/>
          <w:numId w:val="3"/>
        </w:numPr>
      </w:pPr>
      <w:bookmarkStart w:id="85" w:name="_Toc213405554"/>
      <w:r>
        <w:lastRenderedPageBreak/>
        <w:t>Teme secundare (NA)</w:t>
      </w:r>
      <w:bookmarkEnd w:id="84"/>
      <w:bookmarkEnd w:id="85"/>
    </w:p>
    <w:p w14:paraId="424442D4" w14:textId="77777777" w:rsidR="00A657B7" w:rsidRDefault="00245051">
      <w:pPr>
        <w:pStyle w:val="Heading2"/>
        <w:numPr>
          <w:ilvl w:val="1"/>
          <w:numId w:val="3"/>
        </w:numPr>
      </w:pPr>
      <w:bookmarkStart w:id="86" w:name="_Toc143499313"/>
      <w:bookmarkStart w:id="87" w:name="_Toc213405555"/>
      <w:r>
        <w:t>Informarea și vizibilitatea sprijinului din fonduri</w:t>
      </w:r>
      <w:bookmarkEnd w:id="86"/>
      <w:bookmarkEnd w:id="87"/>
    </w:p>
    <w:p w14:paraId="4FC48B4B" w14:textId="77777777" w:rsidR="00A657B7" w:rsidRDefault="00245051">
      <w:pPr>
        <w:ind w:left="0"/>
      </w:pPr>
      <w:r>
        <w:t xml:space="preserve">Solicitantul are obligația să prevadă în cadrul cererii de finanțare măsuri care să asigure o vizibilitate potrivită a obiectivelor, rezultatelor obținute etc. în conformitate cu prevederile modelului de contract anexat, respectiv cu prevederile Regulamentului UE nr. 1060/2021, consolidat și cu prevederile Ghidului de Identitate Vizuală 2021-2027 (GIV), ce poate fi accesat la adresa </w:t>
      </w:r>
      <w:r w:rsidR="00A657B7">
        <w:fldChar w:fldCharType="begin"/>
      </w:r>
      <w:r w:rsidR="00A657B7">
        <w:instrText>HYPERLINK "https://mfe.gov.ro/comunicare/strategie-de-comunicare/"</w:instrText>
      </w:r>
      <w:r w:rsidR="00A657B7">
        <w:fldChar w:fldCharType="separate"/>
      </w:r>
      <w:r w:rsidR="00A657B7">
        <w:t>https://mfe.gov.ro/comunicare/strategie-de-comunicare/</w:t>
      </w:r>
      <w:r w:rsidR="00A657B7">
        <w:fldChar w:fldCharType="end"/>
      </w:r>
      <w:r>
        <w:t>.</w:t>
      </w:r>
    </w:p>
    <w:p w14:paraId="422092A3" w14:textId="77777777" w:rsidR="00A657B7" w:rsidRDefault="00245051">
      <w:pPr>
        <w:ind w:left="0"/>
      </w:pPr>
      <w:r>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nr. 1060/2021, consolidat .</w:t>
      </w:r>
    </w:p>
    <w:p w14:paraId="76A6619C" w14:textId="77777777" w:rsidR="00A657B7" w:rsidRDefault="00A657B7">
      <w:pPr>
        <w:ind w:left="0"/>
      </w:pPr>
    </w:p>
    <w:p w14:paraId="67FB9B2D" w14:textId="77777777" w:rsidR="00A657B7" w:rsidRDefault="00245051">
      <w:pPr>
        <w:pStyle w:val="Heading1"/>
        <w:numPr>
          <w:ilvl w:val="0"/>
          <w:numId w:val="3"/>
        </w:numPr>
      </w:pPr>
      <w:bookmarkStart w:id="88" w:name="_Toc143499314"/>
      <w:bookmarkStart w:id="89" w:name="_Toc213405556"/>
      <w:r>
        <w:t>INFORMAȚII ADMINISTRATIVE DESPRE APELUL DE PROIECTE</w:t>
      </w:r>
      <w:bookmarkEnd w:id="88"/>
      <w:bookmarkEnd w:id="89"/>
      <w:r>
        <w:tab/>
      </w:r>
    </w:p>
    <w:p w14:paraId="3A7CF0C7" w14:textId="77777777" w:rsidR="00A657B7" w:rsidRDefault="00245051">
      <w:pPr>
        <w:pStyle w:val="Heading2"/>
        <w:numPr>
          <w:ilvl w:val="1"/>
          <w:numId w:val="3"/>
        </w:numPr>
      </w:pPr>
      <w:bookmarkStart w:id="90" w:name="_Toc143499315"/>
      <w:bookmarkStart w:id="91" w:name="_Toc213405557"/>
      <w:r>
        <w:t>Data deschiderii apelului de proiecte</w:t>
      </w:r>
      <w:bookmarkEnd w:id="90"/>
      <w:bookmarkEnd w:id="91"/>
    </w:p>
    <w:p w14:paraId="1D30BF7E" w14:textId="77777777" w:rsidR="0044289D" w:rsidRPr="00E7587F" w:rsidRDefault="0044289D" w:rsidP="0044289D">
      <w:pPr>
        <w:ind w:left="0"/>
      </w:pPr>
      <w:bookmarkStart w:id="92" w:name="_Toc143499316"/>
      <w:r w:rsidRPr="00E7587F">
        <w:t xml:space="preserve">Data deschiderii apelurilor de proiecte reprezintă data publicării prezentului ghid pe site-ul </w:t>
      </w:r>
      <w:r>
        <w:fldChar w:fldCharType="begin"/>
      </w:r>
      <w:r>
        <w:instrText>HYPERLINK "https://mfe.gov.ro/ptj-21-27/" \h</w:instrText>
      </w:r>
      <w:r>
        <w:fldChar w:fldCharType="separate"/>
      </w:r>
      <w:r w:rsidRPr="00E7587F">
        <w:rPr>
          <w:color w:val="1155CC"/>
          <w:u w:val="single"/>
        </w:rPr>
        <w:t>https://mfe.gov.ro/ptj-21-27/</w:t>
      </w:r>
      <w:r>
        <w:fldChar w:fldCharType="end"/>
      </w:r>
      <w:r w:rsidRPr="00E7587F">
        <w:t xml:space="preserve"> .</w:t>
      </w:r>
    </w:p>
    <w:p w14:paraId="08997392" w14:textId="77777777" w:rsidR="00A657B7" w:rsidRDefault="00245051">
      <w:pPr>
        <w:pStyle w:val="Heading2"/>
        <w:numPr>
          <w:ilvl w:val="1"/>
          <w:numId w:val="3"/>
        </w:numPr>
      </w:pPr>
      <w:bookmarkStart w:id="93" w:name="_Toc213405558"/>
      <w:r>
        <w:t>Perioada de pregătire a proiectelor</w:t>
      </w:r>
      <w:bookmarkEnd w:id="92"/>
      <w:bookmarkEnd w:id="93"/>
    </w:p>
    <w:p w14:paraId="01F3597F" w14:textId="77777777" w:rsidR="00A657B7" w:rsidRDefault="00245051">
      <w:pPr>
        <w:ind w:left="0"/>
      </w:pPr>
      <w:r>
        <w:t>Perioada de pregătire reprezintă perioada de la data deschiderii apelului de proiecte până la data de începere a depunerii proiectelor prin sistemul electronic MYSMIS.</w:t>
      </w:r>
    </w:p>
    <w:p w14:paraId="6FBD0C1D" w14:textId="5DA28B76" w:rsidR="00A657B7" w:rsidRDefault="00245051">
      <w:pPr>
        <w:ind w:left="0"/>
      </w:pPr>
      <w:r>
        <w:t xml:space="preserve">Pentru pregătirea proiectelor în vederea depunerii cererii de finanțare solicitantul de finanțare are la dispoziție o perioadă </w:t>
      </w:r>
      <w:r>
        <w:rPr>
          <w:b/>
          <w:bCs/>
        </w:rPr>
        <w:t>de 2 luni</w:t>
      </w:r>
      <w:r>
        <w:t>, calculate de la data publicării ghidului solicitantului.</w:t>
      </w:r>
    </w:p>
    <w:p w14:paraId="4286B078" w14:textId="77777777" w:rsidR="00A657B7" w:rsidRDefault="00245051">
      <w:pPr>
        <w:pStyle w:val="Heading2"/>
        <w:numPr>
          <w:ilvl w:val="1"/>
          <w:numId w:val="3"/>
        </w:numPr>
      </w:pPr>
      <w:bookmarkStart w:id="94" w:name="_Toc143499317"/>
      <w:bookmarkStart w:id="95" w:name="_Toc213405559"/>
      <w:r>
        <w:t>Perioada de depunere a proiectelor</w:t>
      </w:r>
      <w:bookmarkEnd w:id="94"/>
      <w:bookmarkEnd w:id="95"/>
      <w:r>
        <w:t xml:space="preserve"> </w:t>
      </w:r>
      <w:r>
        <w:tab/>
      </w:r>
    </w:p>
    <w:p w14:paraId="442CC6C8" w14:textId="77777777" w:rsidR="00A657B7" w:rsidRDefault="00245051">
      <w:pPr>
        <w:pStyle w:val="Heading3"/>
        <w:numPr>
          <w:ilvl w:val="2"/>
          <w:numId w:val="3"/>
        </w:numPr>
      </w:pPr>
      <w:bookmarkStart w:id="96" w:name="_Toc213405560"/>
      <w:r>
        <w:t>Data și ora pentru începerea depunerii de proiecte</w:t>
      </w:r>
      <w:bookmarkEnd w:id="96"/>
    </w:p>
    <w:p w14:paraId="04D2C2AC" w14:textId="77777777" w:rsidR="00A657B7" w:rsidRDefault="00245051">
      <w:pPr>
        <w:ind w:left="0"/>
      </w:pPr>
      <w:r>
        <w:t xml:space="preserve">Data de la care pot fi depuse cereri de finanțare: zz/ll/aaaa, ora hh:mm, în sistemul informatic MySMIS 2021/SMIS2021+. </w:t>
      </w:r>
    </w:p>
    <w:p w14:paraId="2482F60F" w14:textId="77777777" w:rsidR="00A657B7" w:rsidRDefault="00245051">
      <w:pPr>
        <w:pStyle w:val="Heading3"/>
        <w:numPr>
          <w:ilvl w:val="2"/>
          <w:numId w:val="3"/>
        </w:numPr>
      </w:pPr>
      <w:bookmarkStart w:id="97" w:name="_Toc213405561"/>
      <w:r>
        <w:t>Data și ora închiderii apelului de proiecte</w:t>
      </w:r>
      <w:bookmarkEnd w:id="97"/>
    </w:p>
    <w:p w14:paraId="4F26726B" w14:textId="77777777" w:rsidR="00A657B7" w:rsidRDefault="00A657B7">
      <w:pPr>
        <w:spacing w:before="0" w:after="0"/>
        <w:ind w:left="0"/>
      </w:pPr>
    </w:p>
    <w:p w14:paraId="11004BF7" w14:textId="77777777" w:rsidR="00A657B7" w:rsidRDefault="00245051">
      <w:pPr>
        <w:spacing w:before="0" w:after="0"/>
        <w:ind w:left="0"/>
      </w:pPr>
      <w:r>
        <w:t xml:space="preserve">Data până la care pot fi depuse cereri de finanțare: zz/ll/aaaa, ora hh:mm, în sistemul informatic MySMIS 2021/SMIS2021+. </w:t>
      </w:r>
    </w:p>
    <w:p w14:paraId="536EF515" w14:textId="77777777" w:rsidR="00A657B7" w:rsidRDefault="00A657B7">
      <w:pPr>
        <w:spacing w:before="0" w:after="0"/>
        <w:ind w:left="0"/>
      </w:pPr>
    </w:p>
    <w:p w14:paraId="62BD02DD" w14:textId="77777777" w:rsidR="00A657B7" w:rsidRDefault="00245051">
      <w:pPr>
        <w:spacing w:before="0" w:after="0"/>
        <w:ind w:left="0"/>
      </w:pPr>
      <w:bookmarkStart w:id="98" w:name="_Hlk134542865"/>
      <w:r>
        <w:t>Autoritatea de management poate prelungi termenul de depunere în funcție de solicitările primite, de rata de contractare a proiectelor, deciziile de realocare a unor fonduri sau alte considerente.</w:t>
      </w:r>
      <w:bookmarkEnd w:id="98"/>
    </w:p>
    <w:p w14:paraId="0823C922" w14:textId="77777777" w:rsidR="00A657B7" w:rsidRDefault="00245051">
      <w:pPr>
        <w:pStyle w:val="Heading2"/>
        <w:numPr>
          <w:ilvl w:val="1"/>
          <w:numId w:val="3"/>
        </w:numPr>
      </w:pPr>
      <w:bookmarkStart w:id="99" w:name="_Toc143499318"/>
      <w:bookmarkStart w:id="100" w:name="_Toc213405562"/>
      <w:r>
        <w:t>Modalitatea de depunere a proiectelor</w:t>
      </w:r>
      <w:bookmarkEnd w:id="99"/>
      <w:bookmarkEnd w:id="100"/>
    </w:p>
    <w:p w14:paraId="5FE7BF98" w14:textId="77777777" w:rsidR="00A657B7" w:rsidRDefault="00245051">
      <w:pPr>
        <w:ind w:left="0"/>
      </w:pPr>
      <w:bookmarkStart w:id="101" w:name="_heading=h.nmf14n"/>
      <w:bookmarkEnd w:id="101"/>
      <w:r>
        <w:t xml:space="preserve">Cererile de finanțare împreună cu anexele aferente se depun exclusiv prin sistemul informatic MySMIS 2021/SMIS2021+, doar în intervalul menționat la </w:t>
      </w:r>
      <w:r>
        <w:rPr>
          <w:b/>
          <w:bCs/>
        </w:rPr>
        <w:t>capitolul 4.3</w:t>
      </w:r>
      <w:r>
        <w:t xml:space="preserve"> de mai sus.</w:t>
      </w:r>
    </w:p>
    <w:p w14:paraId="58AE046E" w14:textId="77777777" w:rsidR="00A657B7" w:rsidRDefault="00245051">
      <w:pPr>
        <w:ind w:left="0"/>
      </w:pPr>
      <w:r>
        <w:t>Data depunerii cererii de finanțare este considerată data transmiterii formularului electronic al cererii de finanțare prin sistemul informatic MySMIS2021/SMIS2021+.</w:t>
      </w:r>
    </w:p>
    <w:p w14:paraId="26ECE47A" w14:textId="77777777" w:rsidR="00A657B7" w:rsidRDefault="00245051">
      <w:pPr>
        <w:ind w:left="0"/>
        <w:rPr>
          <w:b/>
        </w:rPr>
      </w:pPr>
      <w:bookmarkStart w:id="102" w:name="_heading=h.37m2jsg"/>
      <w:bookmarkEnd w:id="102"/>
      <w:r>
        <w:rPr>
          <w:b/>
        </w:rPr>
        <w:t>Un solicitant poate depune o singură cerere de finanțare, în cadrul unui singur apel (din cele care fac obiectul prezentului ghid).</w:t>
      </w:r>
    </w:p>
    <w:p w14:paraId="6905E11A" w14:textId="77777777" w:rsidR="00A657B7" w:rsidRDefault="00245051">
      <w:pPr>
        <w:ind w:left="0"/>
        <w:rPr>
          <w:b/>
        </w:rPr>
      </w:pPr>
      <w:r>
        <w:rPr>
          <w:b/>
        </w:rPr>
        <w:lastRenderedPageBreak/>
        <w:t>O cerere de finanţare poate să includă mai multe locuri de consum cu, condiția ca puterea totală cuprinsă să nu depășească limitele menționate în prezentul ghid</w:t>
      </w:r>
    </w:p>
    <w:p w14:paraId="3CA2096D" w14:textId="77777777" w:rsidR="00A657B7" w:rsidRDefault="00245051">
      <w:pPr>
        <w:pStyle w:val="Heading1"/>
        <w:numPr>
          <w:ilvl w:val="0"/>
          <w:numId w:val="3"/>
        </w:numPr>
      </w:pPr>
      <w:bookmarkStart w:id="103" w:name="_Toc143499319"/>
      <w:bookmarkStart w:id="104" w:name="_Toc213405563"/>
      <w:r>
        <w:t>CONDIȚII DE ELIGIBILITATE</w:t>
      </w:r>
      <w:bookmarkEnd w:id="103"/>
      <w:bookmarkEnd w:id="104"/>
    </w:p>
    <w:p w14:paraId="2F505E7C" w14:textId="77777777" w:rsidR="00A657B7" w:rsidRDefault="00245051">
      <w:pPr>
        <w:spacing w:before="0" w:after="0"/>
        <w:ind w:left="0"/>
      </w:pPr>
      <w:bookmarkStart w:id="105" w:name="_Hlk134542929"/>
      <w:r>
        <w:t>Pentru selectarea operațiunilor, criteriile și metodologia de selecție se aplică  nediscriminatoriu și transparent tuturor solicitanților la finanțare, în condițiile prevăzute de prezentul capitol</w:t>
      </w:r>
      <w:bookmarkEnd w:id="105"/>
      <w:r>
        <w:t>.</w:t>
      </w:r>
    </w:p>
    <w:p w14:paraId="39458441" w14:textId="77777777" w:rsidR="00A657B7" w:rsidRDefault="00A657B7">
      <w:pPr>
        <w:spacing w:before="0" w:after="0"/>
        <w:ind w:left="0"/>
      </w:pPr>
    </w:p>
    <w:p w14:paraId="3AEF76D9" w14:textId="77777777" w:rsidR="00A657B7" w:rsidRDefault="00245051">
      <w:pPr>
        <w:spacing w:before="0" w:after="0"/>
        <w:ind w:left="0"/>
      </w:pPr>
      <w:r>
        <w:t xml:space="preserve">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și respectiv ale contractului de finanțare. </w:t>
      </w:r>
    </w:p>
    <w:p w14:paraId="0FAF3661" w14:textId="77777777" w:rsidR="00A657B7" w:rsidRDefault="00A657B7">
      <w:pPr>
        <w:spacing w:before="0" w:after="0"/>
        <w:ind w:left="0"/>
      </w:pPr>
    </w:p>
    <w:p w14:paraId="4FC5EF05" w14:textId="77777777" w:rsidR="00A657B7" w:rsidRDefault="00245051">
      <w:pPr>
        <w:spacing w:before="0" w:after="0"/>
        <w:ind w:left="0"/>
      </w:pPr>
      <w:r>
        <w:t>Criteriile de eligibilitate, evaluare și selecție sunt aprobate prin decizia CMPTJ nr. ......../..............</w:t>
      </w:r>
    </w:p>
    <w:p w14:paraId="776F6D1A" w14:textId="77777777" w:rsidR="00A657B7" w:rsidRDefault="00A657B7">
      <w:pPr>
        <w:ind w:left="0"/>
        <w:rPr>
          <w:color w:val="FF0000"/>
        </w:rPr>
      </w:pPr>
    </w:p>
    <w:p w14:paraId="003D6CB8" w14:textId="77777777"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rPr>
          <w:i/>
        </w:rPr>
      </w:pPr>
      <w:r w:rsidRPr="0044289D">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44289D">
        <w:rPr>
          <w:color w:val="0D0D0D"/>
        </w:rPr>
        <w:t xml:space="preserve">Anexei 10 </w:t>
      </w:r>
      <w:r w:rsidRPr="0044289D">
        <w:t xml:space="preserve">la prezentul Ghid - </w:t>
      </w:r>
      <w:r w:rsidRPr="0044289D">
        <w:rPr>
          <w:i/>
        </w:rPr>
        <w:t>Lista de verificare - etapa contractuala.</w:t>
      </w:r>
    </w:p>
    <w:p w14:paraId="4F8073B5" w14:textId="77777777"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Condițiile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Excepție de la această regulă face criteriul privind valoarea minimă eligibilă a proiectului, a cărui respectare este obligatorie doar până la momentul încheierii contractului de finanțare, inclusiv.</w:t>
      </w:r>
    </w:p>
    <w:p w14:paraId="0DE3CEAF" w14:textId="77777777"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 xml:space="preserve">Pentru perioada de implementare și de asigurare a caracterului durabil al operaţiunilor, vă rugăm să consultaţi clauzele contractuale din contractul de finanţare – </w:t>
      </w:r>
      <w:r w:rsidRPr="0044289D">
        <w:rPr>
          <w:color w:val="0D0D0D"/>
        </w:rPr>
        <w:t xml:space="preserve">Anexa 11 </w:t>
      </w:r>
      <w:r w:rsidRPr="0044289D">
        <w:t>la prezentul Ghid (model orientativ).</w:t>
      </w:r>
    </w:p>
    <w:p w14:paraId="777CCEF6" w14:textId="144BF4D9" w:rsidR="0044289D" w:rsidRPr="0044289D" w:rsidRDefault="0044289D" w:rsidP="0044289D">
      <w:pPr>
        <w:pBdr>
          <w:top w:val="none" w:sz="0" w:space="0" w:color="auto"/>
          <w:left w:val="none" w:sz="0" w:space="0" w:color="auto"/>
          <w:bottom w:val="none" w:sz="0" w:space="0" w:color="auto"/>
          <w:right w:val="none" w:sz="0" w:space="0" w:color="auto"/>
          <w:between w:val="none" w:sz="0" w:space="0" w:color="auto"/>
        </w:pBdr>
        <w:spacing w:after="0"/>
        <w:ind w:left="0"/>
      </w:pPr>
      <w:r w:rsidRPr="0044289D">
        <w:t xml:space="preserve">Pentru aplicarea și obținerea finanțării în cadrul apelului de proiecte </w:t>
      </w:r>
      <w:r w:rsidRPr="0044289D">
        <w:rPr>
          <w:i/>
        </w:rPr>
        <w:t>Energie verde accesibilă și mobilitate nepoluantă</w:t>
      </w:r>
      <w:r w:rsidRPr="0044289D">
        <w:t xml:space="preserve">, atât solicitantul de finanţare/liderul de parteneriat/partenerul, cât și proiectul trebuie să respecte în mod cumulativ toate criteriile de eligibilitate menționate în cadrul prezentului capitol, în termenele stabilite în prezentul ghid şi în anexele acestuia. </w:t>
      </w:r>
    </w:p>
    <w:p w14:paraId="13C1A595" w14:textId="77777777" w:rsidR="00A657B7" w:rsidRDefault="00A657B7">
      <w:pPr>
        <w:ind w:left="0"/>
      </w:pPr>
    </w:p>
    <w:p w14:paraId="06F9FCCE" w14:textId="77777777" w:rsidR="00A657B7" w:rsidRDefault="00245051">
      <w:pPr>
        <w:pStyle w:val="Heading2"/>
        <w:numPr>
          <w:ilvl w:val="1"/>
          <w:numId w:val="3"/>
        </w:numPr>
      </w:pPr>
      <w:r>
        <w:t xml:space="preserve"> </w:t>
      </w:r>
      <w:bookmarkStart w:id="106" w:name="_Toc143499320"/>
      <w:bookmarkStart w:id="107" w:name="_Toc213405564"/>
      <w:r>
        <w:t>Eligibilitatea solicitanților și partenerilor</w:t>
      </w:r>
      <w:bookmarkEnd w:id="106"/>
      <w:bookmarkEnd w:id="107"/>
    </w:p>
    <w:p w14:paraId="3F641CBD" w14:textId="77777777" w:rsidR="00A657B7" w:rsidRDefault="00245051">
      <w:pPr>
        <w:pStyle w:val="Heading3"/>
        <w:numPr>
          <w:ilvl w:val="2"/>
          <w:numId w:val="3"/>
        </w:numPr>
      </w:pPr>
      <w:bookmarkStart w:id="108" w:name="_heading=h.wvzl0k1idmsn"/>
      <w:bookmarkStart w:id="109" w:name="_Toc213405565"/>
      <w:bookmarkEnd w:id="108"/>
      <w:r>
        <w:t>Cerințe privind eligibilitatea solicitanților și partenerilor</w:t>
      </w:r>
      <w:bookmarkEnd w:id="109"/>
    </w:p>
    <w:p w14:paraId="25B6DCA7" w14:textId="77777777" w:rsidR="0044289D" w:rsidRDefault="0044289D">
      <w:pPr>
        <w:spacing w:after="0"/>
        <w:ind w:left="0"/>
        <w:rPr>
          <w:rFonts w:eastAsia="Times New Roman"/>
        </w:rPr>
      </w:pPr>
    </w:p>
    <w:p w14:paraId="0923A0BF" w14:textId="5E6B89AE" w:rsidR="0044289D" w:rsidRDefault="0044289D">
      <w:pPr>
        <w:spacing w:after="0"/>
        <w:ind w:left="0"/>
        <w:rPr>
          <w:rFonts w:eastAsia="Times New Roman"/>
        </w:rPr>
      </w:pPr>
      <w:r w:rsidRPr="0044289D">
        <w:rPr>
          <w:rFonts w:eastAsia="Times New Roman"/>
        </w:rPr>
        <w:t>Solicitantul eligibil, în sensul prezentului ghid, reprezintă entitatea, situată în județele Gorj, Hunedoara, Dolj, Galați, Prahova și Mureș, care îndeplineşte cumulativ criteriile enumerate și prezentate în cadrul prezentei secțiuni.</w:t>
      </w:r>
    </w:p>
    <w:p w14:paraId="3404C7CE" w14:textId="35C7AD55" w:rsidR="0044289D" w:rsidRPr="0044289D" w:rsidRDefault="0044289D" w:rsidP="0044289D">
      <w:pPr>
        <w:spacing w:after="0"/>
        <w:ind w:left="0"/>
        <w:rPr>
          <w:rFonts w:eastAsia="Times New Roman"/>
        </w:rPr>
      </w:pPr>
      <w:r w:rsidRPr="0044289D">
        <w:rPr>
          <w:rFonts w:eastAsia="Times New Roman"/>
        </w:rPr>
        <w:t>Solicitanţii de finanţare eligibili sunt  Unitățile administrativ-teritoriale (UAT), definite conform prevederilor OUG nr. 57/2019 privind Codul administrativ, cu modificările şi completările ulterioare și ale Legii nr. 2 din 16 februarie 1968 privind organizarea administrativă a teritoriului României (art. 4 alin. 5). Acestea se pot asocia în parten</w:t>
      </w:r>
      <w:r w:rsidR="00761665">
        <w:rPr>
          <w:rFonts w:eastAsia="Times New Roman"/>
        </w:rPr>
        <w:t>er</w:t>
      </w:r>
      <w:r w:rsidRPr="0044289D">
        <w:rPr>
          <w:rFonts w:eastAsia="Times New Roman"/>
        </w:rPr>
        <w:t xml:space="preserve">iate constituite din UAT sau UAT/CJ. </w:t>
      </w:r>
    </w:p>
    <w:p w14:paraId="75F3D444" w14:textId="49DBC154" w:rsidR="0044289D" w:rsidRDefault="0044289D" w:rsidP="0044289D">
      <w:pPr>
        <w:spacing w:after="0"/>
        <w:ind w:left="0"/>
        <w:rPr>
          <w:rFonts w:eastAsia="Times New Roman"/>
        </w:rPr>
      </w:pPr>
      <w:r w:rsidRPr="0044289D">
        <w:rPr>
          <w:rFonts w:eastAsia="Times New Roman"/>
        </w:rPr>
        <w:t>Gospodăriile care doresc să facă parte din viitoarea comunitate de energie de la nivelul UAT aplicant își vor exprima intenția de a beneficia de finanțare, alături de UAT. Aceasta 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p w14:paraId="2B72EAEA" w14:textId="77777777" w:rsidR="0044289D" w:rsidRDefault="0044289D">
      <w:pPr>
        <w:spacing w:after="0"/>
        <w:ind w:left="0"/>
        <w:rPr>
          <w:rFonts w:eastAsia="Times New Roman"/>
        </w:rPr>
      </w:pPr>
    </w:p>
    <w:p w14:paraId="7EAF5772" w14:textId="4C99D153" w:rsidR="00A657B7" w:rsidRDefault="00245051">
      <w:pPr>
        <w:spacing w:after="0"/>
        <w:ind w:left="0"/>
        <w:rPr>
          <w:rFonts w:eastAsia="Times New Roman"/>
        </w:rPr>
      </w:pPr>
      <w:r>
        <w:rPr>
          <w:rFonts w:eastAsia="Times New Roman"/>
        </w:rPr>
        <w:t xml:space="preserve">Condițiile de eligibilitate ale solicitanților de fonduri externe nerambursabile fac obiectul declarației unice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27BAB9FC" w14:textId="77777777" w:rsidR="00A657B7" w:rsidRDefault="00245051">
      <w:pPr>
        <w:spacing w:after="0"/>
        <w:ind w:left="0"/>
        <w:rPr>
          <w:rFonts w:eastAsia="Times New Roman"/>
        </w:rPr>
      </w:pPr>
      <w:r>
        <w:rPr>
          <w:rFonts w:eastAsia="Times New Roman"/>
        </w:rPr>
        <w:t>Aplicația MySMIS2021/SMIS2021+ va genera declarația unică, care va fi completată de solicitant și va fi semnată cu semnătură electronică de către reprezentantul legal al acestuia.</w:t>
      </w:r>
    </w:p>
    <w:p w14:paraId="417DBEE8" w14:textId="77777777" w:rsidR="00A657B7" w:rsidRDefault="00245051">
      <w:pPr>
        <w:spacing w:after="0"/>
        <w:ind w:left="0"/>
        <w:rPr>
          <w:rFonts w:eastAsia="Times New Roman"/>
        </w:rPr>
      </w:pPr>
      <w:r>
        <w:rPr>
          <w:rFonts w:eastAsia="Times New Roman"/>
        </w:rPr>
        <w:t xml:space="preserve">Odată cu generarea şi semnarea declaraţiei unice, solicitantului, după caz, i se aduce la cunoştinţă, în mod automat, prin sistemul informatic MySMIS2021/SMIS2021+, că în etapa de contractare are obligaţia de a face dovada celor declarate. </w:t>
      </w:r>
    </w:p>
    <w:p w14:paraId="10119344" w14:textId="77777777" w:rsidR="00A657B7" w:rsidRDefault="00245051">
      <w:pPr>
        <w:spacing w:after="0"/>
        <w:ind w:left="0"/>
        <w:rPr>
          <w:rFonts w:eastAsia="Times New Roman"/>
        </w:rPr>
      </w:pPr>
      <w:r>
        <w:rPr>
          <w:rFonts w:eastAsia="Times New Roman"/>
        </w:rPr>
        <w:t>Prin declarația unică, solicitantul confirmă îndeplinirea tuturor condițiilor de eligibilitate, inclusiv a condițiilor de evitare a dublei finanțări, conflictelor de interese, eligibilitate TVA, plata datoriilor la zi față de bugetul public, precum și face/fac dovada altor condiții de eligibilitate ale solicitantului și ale proiectului prevăzute de prezentul ghid.</w:t>
      </w:r>
    </w:p>
    <w:p w14:paraId="0D4B4809" w14:textId="77777777" w:rsidR="00A657B7" w:rsidRDefault="00245051">
      <w:pPr>
        <w:spacing w:after="0"/>
        <w:ind w:left="0"/>
        <w:rPr>
          <w:rFonts w:eastAsia="Times New Roman"/>
        </w:rPr>
      </w:pPr>
      <w:r>
        <w:rPr>
          <w:rFonts w:eastAsia="Times New Roman"/>
        </w:rPr>
        <w:t>De asemenea, odată cu transmiterea cererii de finanțare și/sau completarea declarației unice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C173AD1" w14:textId="77777777" w:rsidR="00A657B7" w:rsidRDefault="00245051">
      <w:pPr>
        <w:spacing w:after="0"/>
        <w:ind w:left="0"/>
        <w:rPr>
          <w:rFonts w:eastAsia="Times New Roman"/>
        </w:rPr>
      </w:pPr>
      <w:r>
        <w:rPr>
          <w:rFonts w:eastAsia="Times New Roman"/>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AMTJ/OIPTJ în termenul specificat în declarația unică, în caz contrar asumându-și riscul respingerii de </w:t>
      </w:r>
      <w:r>
        <w:rPr>
          <w:rFonts w:eastAsia="Times New Roman"/>
        </w:rPr>
        <w:t>la finanțare a proiectului.</w:t>
      </w:r>
    </w:p>
    <w:p w14:paraId="42382A95" w14:textId="77777777" w:rsidR="00A657B7" w:rsidRDefault="00245051">
      <w:pPr>
        <w:spacing w:after="0"/>
        <w:ind w:left="0"/>
        <w:rPr>
          <w:rFonts w:eastAsia="Times New Roman"/>
        </w:rPr>
      </w:pPr>
      <w:r>
        <w:rPr>
          <w:rFonts w:eastAsia="Times New Roman"/>
        </w:rPr>
        <w:t>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7FC67AFB" w14:textId="77777777" w:rsidR="00A657B7" w:rsidRDefault="00A657B7">
      <w:pPr>
        <w:spacing w:after="0"/>
        <w:ind w:left="0"/>
        <w:rPr>
          <w:rFonts w:eastAsia="Times New Roman"/>
        </w:rPr>
      </w:pPr>
    </w:p>
    <w:p w14:paraId="7C68DBC0" w14:textId="77777777" w:rsidR="00A657B7" w:rsidRDefault="00245051">
      <w:pPr>
        <w:pStyle w:val="Heading3"/>
        <w:numPr>
          <w:ilvl w:val="2"/>
          <w:numId w:val="3"/>
        </w:numPr>
        <w:ind w:left="0" w:firstLine="0"/>
      </w:pPr>
      <w:bookmarkStart w:id="110" w:name="_Toc213405566"/>
      <w:r>
        <w:t>Categorii de solicitanți eligibili</w:t>
      </w:r>
      <w:bookmarkEnd w:id="110"/>
    </w:p>
    <w:p w14:paraId="5DC35C98" w14:textId="77777777" w:rsidR="00A657B7" w:rsidRDefault="00A657B7">
      <w:pPr>
        <w:spacing w:after="0"/>
        <w:ind w:left="0"/>
        <w:rPr>
          <w:rFonts w:eastAsia="Times New Roman"/>
        </w:rPr>
      </w:pPr>
    </w:p>
    <w:p w14:paraId="2AC41933" w14:textId="77777777" w:rsidR="00A657B7" w:rsidRDefault="00245051" w:rsidP="005C45D9">
      <w:pPr>
        <w:tabs>
          <w:tab w:val="left" w:pos="0"/>
        </w:tabs>
        <w:spacing w:before="0"/>
        <w:rPr>
          <w:b/>
        </w:rPr>
      </w:pPr>
      <w:r>
        <w:rPr>
          <w:b/>
        </w:rPr>
        <w:t>Forma de constituire a solicitantului</w:t>
      </w:r>
    </w:p>
    <w:p w14:paraId="4007752C" w14:textId="77777777" w:rsidR="00A657B7" w:rsidRDefault="00245051">
      <w:pPr>
        <w:ind w:left="0"/>
        <w:rPr>
          <w:b/>
        </w:rPr>
      </w:pPr>
      <w:r>
        <w:rPr>
          <w:b/>
        </w:rPr>
        <w:t>În cadrul acestui apel sunt eligibile următoarele categorii de solicitanți:</w:t>
      </w:r>
    </w:p>
    <w:p w14:paraId="7926E2EF" w14:textId="77777777" w:rsidR="00A657B7" w:rsidRDefault="00245051">
      <w:pPr>
        <w:numPr>
          <w:ilvl w:val="0"/>
          <w:numId w:val="19"/>
        </w:numPr>
      </w:pPr>
      <w:r>
        <w:rPr>
          <w:b/>
          <w:bCs/>
        </w:rPr>
        <w:t xml:space="preserve">Unitățile Administrativ Teritoriale </w:t>
      </w:r>
      <w:r>
        <w:rPr>
          <w:bCs/>
        </w:rPr>
        <w:t>(definite conform Codului administrativ aprobat prin OUG nr. 57/2019, cu modificările și completările ulterioare) din zona vizată de investițiile asociate apelurilor de proiecte</w:t>
      </w:r>
      <w:r>
        <w:rPr>
          <w:b/>
          <w:bCs/>
        </w:rPr>
        <w:t xml:space="preserve"> </w:t>
      </w:r>
      <w:r>
        <w:t xml:space="preserve">(UAT județ, municipiu, oraș, comună) </w:t>
      </w:r>
    </w:p>
    <w:p w14:paraId="63DCF5BD" w14:textId="0194DAAF" w:rsidR="00A657B7" w:rsidRDefault="0044289D">
      <w:pPr>
        <w:pStyle w:val="ListParagraph"/>
        <w:numPr>
          <w:ilvl w:val="0"/>
          <w:numId w:val="19"/>
        </w:numPr>
        <w:spacing w:before="0" w:after="0"/>
        <w:rPr>
          <w:b/>
          <w:bCs/>
        </w:rPr>
      </w:pPr>
      <w:r w:rsidRPr="0059359E">
        <w:rPr>
          <w:b/>
          <w:bCs/>
        </w:rPr>
        <w:t>UAT în parteneriat cu CJ sau o altă unitate administrativ-teritorială</w:t>
      </w:r>
    </w:p>
    <w:p w14:paraId="2066A768" w14:textId="77777777" w:rsidR="0059359E" w:rsidRDefault="0059359E" w:rsidP="0059359E">
      <w:pPr>
        <w:spacing w:before="0" w:after="0"/>
        <w:rPr>
          <w:b/>
          <w:bCs/>
        </w:rPr>
      </w:pPr>
    </w:p>
    <w:p w14:paraId="5BBE08DD" w14:textId="364D1495" w:rsidR="0059359E" w:rsidRPr="005F0F69" w:rsidRDefault="005F0F69" w:rsidP="0059359E">
      <w:pPr>
        <w:spacing w:before="0" w:after="0"/>
        <w:rPr>
          <w:b/>
          <w:bCs/>
          <w:color w:val="1C6194" w:themeColor="accent6" w:themeShade="BF"/>
        </w:rPr>
      </w:pPr>
      <w:r w:rsidRPr="005F0F69">
        <w:rPr>
          <w:b/>
          <w:bCs/>
          <w:color w:val="1C6194" w:themeColor="accent6" w:themeShade="BF"/>
        </w:rPr>
        <w:t>Gospodăriile care doresc să facă parte din viitoarea comunitate de energie de la nivelul UAT aplicant își vor exprima intenția de a beneficia de finanțare, alături de UAT. Aceasta 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p w14:paraId="7BA011F7" w14:textId="77777777" w:rsidR="005F0F69" w:rsidRDefault="005F0F69" w:rsidP="0059359E">
      <w:pPr>
        <w:spacing w:before="0" w:after="0"/>
        <w:rPr>
          <w:b/>
          <w:bCs/>
        </w:rPr>
      </w:pPr>
    </w:p>
    <w:p w14:paraId="07A80C7D" w14:textId="77777777" w:rsidR="00F137FD" w:rsidRPr="0059359E" w:rsidRDefault="00F137FD" w:rsidP="0059359E">
      <w:pPr>
        <w:spacing w:before="0" w:after="0"/>
        <w:rPr>
          <w:b/>
          <w:bCs/>
        </w:rPr>
      </w:pPr>
    </w:p>
    <w:p w14:paraId="2ECC4ADF" w14:textId="77777777" w:rsidR="00A657B7" w:rsidRDefault="00245051">
      <w:pPr>
        <w:spacing w:before="0" w:after="0"/>
        <w:ind w:left="0"/>
        <w:rPr>
          <w:b/>
        </w:rPr>
      </w:pPr>
      <w:r>
        <w:rPr>
          <w:b/>
        </w:rPr>
        <w:lastRenderedPageBreak/>
        <w:t>Atenție:</w:t>
      </w:r>
    </w:p>
    <w:p w14:paraId="6E612679" w14:textId="77777777" w:rsidR="00A657B7" w:rsidRDefault="00245051">
      <w:pPr>
        <w:spacing w:before="0" w:after="0"/>
        <w:ind w:left="0"/>
      </w:pPr>
      <w:r>
        <w:t>Vor fi considerate eligibile investițiile aferente clădirilor publice deținute și ocupate de autoritățile publice locale așa cum sunt definite mai sus, sau ocupate de instituțiile publice și servicii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w:t>
      </w:r>
      <w:r>
        <w:t>2006 privind finanțele publice locale, cu modificările și completările ulterioare).</w:t>
      </w:r>
    </w:p>
    <w:p w14:paraId="200DEB84" w14:textId="77777777" w:rsidR="00A657B7" w:rsidRDefault="00A657B7">
      <w:pPr>
        <w:spacing w:before="0" w:after="0"/>
        <w:ind w:left="0"/>
      </w:pPr>
    </w:p>
    <w:p w14:paraId="5110EEA9" w14:textId="54F3BB73" w:rsidR="00A657B7" w:rsidRDefault="00245051">
      <w:pPr>
        <w:spacing w:before="0" w:after="0"/>
        <w:ind w:left="0"/>
        <w:rPr>
          <w:b/>
        </w:rPr>
      </w:pPr>
      <w:r>
        <w:rPr>
          <w:b/>
        </w:rPr>
        <w:t xml:space="preserve">Unitatea administrativ teritorială </w:t>
      </w:r>
      <w:r w:rsidR="00761665">
        <w:rPr>
          <w:b/>
        </w:rPr>
        <w:t>are calitate de</w:t>
      </w:r>
      <w:r>
        <w:rPr>
          <w:b/>
        </w:rPr>
        <w:t xml:space="preserve"> solicitant </w:t>
      </w:r>
      <w:r w:rsidR="00761665">
        <w:rPr>
          <w:b/>
        </w:rPr>
        <w:t>în toate situațiile descrise</w:t>
      </w:r>
      <w:r w:rsidR="0059359E">
        <w:rPr>
          <w:b/>
        </w:rPr>
        <w:t>.</w:t>
      </w:r>
    </w:p>
    <w:p w14:paraId="2FDD8878" w14:textId="77777777" w:rsidR="005C45D9" w:rsidRDefault="005C45D9">
      <w:pPr>
        <w:spacing w:before="0" w:after="0"/>
        <w:ind w:left="0"/>
        <w:rPr>
          <w:b/>
        </w:rPr>
      </w:pPr>
    </w:p>
    <w:p w14:paraId="42818965" w14:textId="17BC3AA1" w:rsidR="0059359E" w:rsidRDefault="0059359E" w:rsidP="0059359E">
      <w:pPr>
        <w:spacing w:before="0" w:after="0"/>
        <w:ind w:left="0"/>
        <w:rPr>
          <w:bCs/>
        </w:rPr>
      </w:pPr>
      <w:r w:rsidRPr="005C45D9">
        <w:rPr>
          <w:bCs/>
        </w:rPr>
        <w:t>Proiectele se vor structura în două tipuri de acțiuni:</w:t>
      </w:r>
    </w:p>
    <w:p w14:paraId="1EF83E98" w14:textId="77777777" w:rsidR="005C45D9" w:rsidRPr="005C45D9" w:rsidRDefault="005C45D9" w:rsidP="0059359E">
      <w:pPr>
        <w:spacing w:before="0" w:after="0"/>
        <w:ind w:left="0"/>
        <w:rPr>
          <w:bCs/>
        </w:rPr>
      </w:pPr>
    </w:p>
    <w:p w14:paraId="762E5C86" w14:textId="77777777" w:rsidR="00E77638" w:rsidRDefault="0059359E" w:rsidP="0059359E">
      <w:pPr>
        <w:spacing w:before="0" w:after="0"/>
        <w:ind w:left="0"/>
        <w:rPr>
          <w:b/>
          <w:color w:val="1C6194" w:themeColor="accent6" w:themeShade="BF"/>
        </w:rPr>
      </w:pPr>
      <w:r w:rsidRPr="00761665">
        <w:rPr>
          <w:b/>
          <w:color w:val="1C6194" w:themeColor="accent6" w:themeShade="BF"/>
        </w:rPr>
        <w:t xml:space="preserve">A. Acțiune obligatorie:  </w:t>
      </w:r>
    </w:p>
    <w:p w14:paraId="7E80CE91" w14:textId="09434EB0" w:rsidR="0059359E" w:rsidRDefault="0059359E" w:rsidP="0059359E">
      <w:pPr>
        <w:spacing w:before="0" w:after="0"/>
        <w:ind w:left="0"/>
        <w:rPr>
          <w:b/>
        </w:rPr>
      </w:pPr>
      <w:r w:rsidRPr="0059359E">
        <w:rPr>
          <w:b/>
        </w:rPr>
        <w:t>Finanțarea echipamentelor și activităților care stau la baza realizării de capacități de producere de energie pentru clădirile publice. Echipamentele de categoriile: energie fotovoltaică/ fototermică, eoliană, alte SRE - biogaz, geotermal, inclusiv pompe de căldură, cu respectarea prevederilor Ghidului solicitantului și legislației în vigoare.</w:t>
      </w:r>
    </w:p>
    <w:p w14:paraId="17C670F2" w14:textId="77777777" w:rsidR="005C45D9" w:rsidRPr="0059359E" w:rsidRDefault="005C45D9" w:rsidP="0059359E">
      <w:pPr>
        <w:spacing w:before="0" w:after="0"/>
        <w:ind w:left="0"/>
        <w:rPr>
          <w:b/>
        </w:rPr>
      </w:pPr>
    </w:p>
    <w:p w14:paraId="04DF6E0F" w14:textId="77777777" w:rsidR="00E77638" w:rsidRDefault="0059359E" w:rsidP="0059359E">
      <w:pPr>
        <w:spacing w:before="0" w:after="0"/>
        <w:ind w:left="0"/>
        <w:rPr>
          <w:b/>
        </w:rPr>
      </w:pPr>
      <w:r w:rsidRPr="0059359E">
        <w:rPr>
          <w:b/>
        </w:rPr>
        <w:t>B</w:t>
      </w:r>
      <w:r w:rsidRPr="00E77638">
        <w:rPr>
          <w:b/>
          <w:color w:val="1C6194" w:themeColor="accent6" w:themeShade="BF"/>
        </w:rPr>
        <w:t>. Acțiune opțională,</w:t>
      </w:r>
      <w:r w:rsidRPr="0059359E">
        <w:rPr>
          <w:b/>
        </w:rPr>
        <w:t xml:space="preserve"> punctată suplimentar.  </w:t>
      </w:r>
    </w:p>
    <w:p w14:paraId="2E817994" w14:textId="6BA06F6C" w:rsidR="0059359E" w:rsidRPr="0059359E" w:rsidRDefault="0059359E" w:rsidP="0059359E">
      <w:pPr>
        <w:spacing w:before="0" w:after="0"/>
        <w:ind w:left="0"/>
        <w:rPr>
          <w:b/>
        </w:rPr>
      </w:pPr>
      <w:r w:rsidRPr="0059359E">
        <w:rPr>
          <w:b/>
        </w:rPr>
        <w:t>Finanțarea echipamentelor și activităților care stau la baza realizării de capacități de producere de energie pentru gospodării individuale. Echipamentele de categoriile: panouri fotovoltaice (PV) și panouri fototermice/pompe de căldură , cu respectarea prevederilor Ghidului solicitantului și legislației în vigoare.</w:t>
      </w:r>
    </w:p>
    <w:p w14:paraId="5270F902" w14:textId="77777777" w:rsidR="00F137FD" w:rsidRDefault="00F137FD" w:rsidP="0059359E">
      <w:pPr>
        <w:spacing w:before="0" w:after="0"/>
        <w:ind w:left="0"/>
        <w:rPr>
          <w:b/>
        </w:rPr>
      </w:pPr>
    </w:p>
    <w:p w14:paraId="2E375250" w14:textId="2B220044" w:rsidR="0059359E" w:rsidRDefault="0059359E" w:rsidP="0059359E">
      <w:pPr>
        <w:spacing w:before="0" w:after="0"/>
        <w:ind w:left="0"/>
        <w:rPr>
          <w:b/>
        </w:rPr>
      </w:pPr>
      <w:r w:rsidRPr="0059359E">
        <w:rPr>
          <w:b/>
        </w:rPr>
        <w:t>Proiectele pot cuprinde una sau ambele acțiuni A - B, conform necesarului identificat la nivelul UAT, cu condiția ca UAT să îndeplinească calitatea de unic solicitant pentru proiectul care va integra cele două tipuri de acțiuni, dacă se identifică acest necesar pentru gospodăriile de la nivelul UAT, sau pentru un proiect care cuprinde doar clădirile publice, în condițiile Ghidului solicitantului și legislației în vigoare. Beneficiari potențiali sunt UAT individual sau asocieri în cadrul unui parteneriat între diverse UAT și/sau Consiliul Județean.</w:t>
      </w:r>
    </w:p>
    <w:p w14:paraId="11A09CB8" w14:textId="77777777" w:rsidR="00A657B7" w:rsidRDefault="00A657B7">
      <w:pPr>
        <w:spacing w:before="0" w:after="0"/>
        <w:ind w:left="0"/>
      </w:pPr>
    </w:p>
    <w:p w14:paraId="6BA268EF" w14:textId="7103FE7E" w:rsidR="0059359E" w:rsidRPr="0059359E" w:rsidRDefault="0059359E">
      <w:pPr>
        <w:numPr>
          <w:ilvl w:val="0"/>
          <w:numId w:val="4"/>
        </w:numPr>
        <w:spacing w:before="0"/>
        <w:rPr>
          <w:b/>
        </w:rPr>
      </w:pPr>
      <w:r w:rsidRPr="0059359E">
        <w:rPr>
          <w:b/>
          <w:snapToGrid w:val="0"/>
          <w:color w:val="3494BA"/>
        </w:rPr>
        <w:t xml:space="preserve">Solicitantul şi/sau reprezentantul său legal, inclusiv partenerii şi/sau reprezentanții săi legali, dacă este cazul, </w:t>
      </w:r>
      <w:r w:rsidRPr="0059359E">
        <w:rPr>
          <w:b/>
          <w:snapToGrid w:val="0"/>
          <w:color w:val="3494BA"/>
          <w:u w:val="single"/>
        </w:rPr>
        <w:t>NU</w:t>
      </w:r>
      <w:r w:rsidRPr="0059359E">
        <w:rPr>
          <w:b/>
          <w:snapToGrid w:val="0"/>
          <w:color w:val="3494BA"/>
        </w:rPr>
        <w:t xml:space="preserve"> se încadrează în niciuna din situaţiile de excludere prezentate în Declarația unică </w:t>
      </w:r>
    </w:p>
    <w:p w14:paraId="73B8CEBF" w14:textId="7670D99B" w:rsidR="0059359E" w:rsidRPr="0059359E" w:rsidRDefault="0059359E" w:rsidP="0059359E">
      <w:pPr>
        <w:tabs>
          <w:tab w:val="left" w:pos="0"/>
        </w:tabs>
        <w:spacing w:before="0"/>
        <w:ind w:left="90"/>
        <w:rPr>
          <w:bCs/>
        </w:rPr>
      </w:pPr>
      <w:r w:rsidRPr="0059359E">
        <w:rPr>
          <w:bCs/>
        </w:rPr>
        <w:t>În cazul implementării proiectelor pe bază de acorduri de parteneriat, toți membrii acestora vor prezenta această declarație asumată de reprezentantul legal al liderului de parteneriat/partenerului.</w:t>
      </w:r>
    </w:p>
    <w:p w14:paraId="22C18DFD" w14:textId="77777777" w:rsidR="0059359E" w:rsidRDefault="0059359E" w:rsidP="0059359E">
      <w:pPr>
        <w:pBdr>
          <w:left w:val="none" w:sz="4" w:space="14" w:color="000000"/>
        </w:pBdr>
        <w:tabs>
          <w:tab w:val="left" w:pos="0"/>
        </w:tabs>
        <w:spacing w:before="0"/>
        <w:rPr>
          <w:b/>
        </w:rPr>
      </w:pPr>
    </w:p>
    <w:p w14:paraId="4FF71ECD" w14:textId="77777777" w:rsidR="0059359E" w:rsidRPr="0059359E" w:rsidRDefault="0059359E" w:rsidP="0059359E">
      <w:pPr>
        <w:pStyle w:val="ListParagraph"/>
        <w:numPr>
          <w:ilvl w:val="0"/>
          <w:numId w:val="4"/>
        </w:numPr>
        <w:rPr>
          <w:b/>
          <w:snapToGrid w:val="0"/>
          <w:color w:val="3494BA"/>
        </w:rPr>
      </w:pPr>
      <w:r w:rsidRPr="0059359E">
        <w:rPr>
          <w:b/>
          <w:snapToGrid w:val="0"/>
          <w:color w:val="3494BA"/>
        </w:rPr>
        <w:t>Drepturi asupra imobilelor obiect al proiectului</w:t>
      </w:r>
    </w:p>
    <w:p w14:paraId="703DFE29" w14:textId="302EB278" w:rsidR="0059359E" w:rsidRPr="005B7C66" w:rsidRDefault="0059359E" w:rsidP="0059359E">
      <w:pPr>
        <w:spacing w:after="0"/>
        <w:ind w:left="0"/>
        <w:rPr>
          <w:rFonts w:asciiTheme="minorHAnsi" w:hAnsiTheme="minorHAnsi" w:cstheme="minorHAnsi"/>
        </w:rPr>
      </w:pPr>
      <w:r w:rsidRPr="005B7C66">
        <w:rPr>
          <w:rFonts w:asciiTheme="minorHAnsi" w:hAnsiTheme="minorHAnsi" w:cstheme="minorHAnsi"/>
        </w:rPr>
        <w:t xml:space="preserve">Pentru toate proiectele de investiţii </w:t>
      </w:r>
      <w:r>
        <w:rPr>
          <w:rFonts w:asciiTheme="minorHAnsi" w:hAnsiTheme="minorHAnsi" w:cstheme="minorHAnsi"/>
        </w:rPr>
        <w:t>în clădiri publice</w:t>
      </w:r>
      <w:r w:rsidRPr="005B7C66">
        <w:rPr>
          <w:rFonts w:asciiTheme="minorHAnsi" w:hAnsiTheme="minorHAnsi" w:cstheme="minorHAnsi"/>
        </w:rPr>
        <w:t xml:space="preserve">, inclusiv pentru cele pentru care nu este necesară obţinerea autorizaţiei de construire, </w:t>
      </w:r>
      <w:r w:rsidRPr="005B7C66">
        <w:rPr>
          <w:rFonts w:asciiTheme="minorHAnsi" w:hAnsiTheme="minorHAnsi" w:cstheme="minorHAnsi"/>
          <w:b/>
        </w:rPr>
        <w:t>solicitantul are obligaţia</w:t>
      </w:r>
      <w:r w:rsidRPr="005B7C66">
        <w:rPr>
          <w:rFonts w:asciiTheme="minorHAnsi" w:hAnsiTheme="minorHAnsi" w:cstheme="minorHAnsi"/>
        </w:rPr>
        <w:t xml:space="preserve">, în condiţiile şi la termenele din </w:t>
      </w:r>
      <w:r>
        <w:rPr>
          <w:rFonts w:asciiTheme="minorHAnsi" w:hAnsiTheme="minorHAnsi" w:cstheme="minorHAnsi"/>
        </w:rPr>
        <w:t>ghid</w:t>
      </w:r>
      <w:r w:rsidRPr="005B7C66">
        <w:rPr>
          <w:rFonts w:asciiTheme="minorHAnsi" w:hAnsiTheme="minorHAnsi" w:cstheme="minorHAnsi"/>
        </w:rPr>
        <w:t xml:space="preserve">, în etapa de contractare, respectiv nu mai târziu de semnarea contractului de finanţare, </w:t>
      </w:r>
      <w:r w:rsidRPr="005B7C66">
        <w:rPr>
          <w:rFonts w:asciiTheme="minorHAnsi" w:hAnsiTheme="minorHAnsi" w:cstheme="minorHAnsi"/>
          <w:b/>
        </w:rPr>
        <w:t>de a face dovada unui drept real principal fără sarcini asupra bunurilor imobile care fac obiectul cererii de finanţare</w:t>
      </w:r>
      <w:r w:rsidRPr="005B7C66">
        <w:rPr>
          <w:rFonts w:asciiTheme="minorHAnsi" w:hAnsiTheme="minorHAnsi" w:cstheme="minorHAnsi"/>
        </w:rPr>
        <w:t xml:space="preserve">. </w:t>
      </w:r>
    </w:p>
    <w:p w14:paraId="154C52F9" w14:textId="77777777" w:rsidR="0059359E" w:rsidRPr="005B7C66" w:rsidRDefault="0059359E" w:rsidP="0059359E">
      <w:pPr>
        <w:spacing w:after="0"/>
        <w:ind w:left="0"/>
        <w:rPr>
          <w:rFonts w:asciiTheme="minorHAnsi" w:hAnsiTheme="minorHAnsi" w:cstheme="minorHAnsi"/>
        </w:rPr>
      </w:pPr>
      <w:r w:rsidRPr="005B7C66">
        <w:rPr>
          <w:rFonts w:asciiTheme="minorHAnsi" w:hAnsiTheme="minorHAnsi" w:cstheme="minorHAnsi"/>
        </w:rPr>
        <w:t>Solicitantul declară pe propria răspundere, odată cu întocmirea declaraţiei unice că deţine sau, după caz, urmează să deţină asupra bunurilor imobile care fac obiectul cererii de finanţare, până la data semnării contractului de finanţare, dreptul de proprietate sau alte drepturi reale principale enumerate mai jos:</w:t>
      </w:r>
    </w:p>
    <w:p w14:paraId="2C17D979" w14:textId="77777777" w:rsidR="0059359E" w:rsidRPr="005B7C66"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left="0" w:firstLine="630"/>
        <w:contextualSpacing w:val="0"/>
        <w:rPr>
          <w:rFonts w:asciiTheme="minorHAnsi" w:hAnsiTheme="minorHAnsi" w:cstheme="minorHAnsi"/>
          <w:i/>
        </w:rPr>
      </w:pPr>
      <w:r w:rsidRPr="005B7C66">
        <w:rPr>
          <w:rFonts w:asciiTheme="minorHAnsi" w:hAnsiTheme="minorHAnsi" w:cstheme="minorHAnsi"/>
          <w:bCs/>
          <w:i/>
        </w:rPr>
        <w:t>Dreptul de proprietate publică/privată;</w:t>
      </w:r>
    </w:p>
    <w:p w14:paraId="29FEC795" w14:textId="77777777" w:rsidR="0059359E" w:rsidRPr="005B7C66"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hanging="90"/>
        <w:contextualSpacing w:val="0"/>
        <w:rPr>
          <w:rFonts w:asciiTheme="minorHAnsi" w:hAnsiTheme="minorHAnsi" w:cstheme="minorHAnsi"/>
          <w:i/>
        </w:rPr>
      </w:pPr>
      <w:r w:rsidRPr="005B7C66">
        <w:rPr>
          <w:rFonts w:asciiTheme="minorHAnsi" w:hAnsiTheme="minorHAnsi" w:cstheme="minorHAnsi"/>
          <w:bCs/>
          <w:i/>
        </w:rPr>
        <w:t xml:space="preserve">Dreptul de administrare; </w:t>
      </w:r>
    </w:p>
    <w:p w14:paraId="2E3B63B1" w14:textId="77777777" w:rsidR="0059359E" w:rsidRDefault="0059359E">
      <w:pPr>
        <w:pStyle w:val="ListParagraph"/>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left="0" w:firstLine="630"/>
        <w:contextualSpacing w:val="0"/>
        <w:rPr>
          <w:rFonts w:asciiTheme="minorHAnsi" w:hAnsiTheme="minorHAnsi" w:cstheme="minorHAnsi"/>
        </w:rPr>
      </w:pPr>
      <w:r w:rsidRPr="005B7C66">
        <w:rPr>
          <w:rFonts w:asciiTheme="minorHAnsi" w:hAnsiTheme="minorHAnsi" w:cstheme="minorHAnsi"/>
          <w:i/>
        </w:rPr>
        <w:t>Dreptul de folosință</w:t>
      </w:r>
      <w:r w:rsidRPr="005B7C66">
        <w:rPr>
          <w:rFonts w:asciiTheme="minorHAnsi" w:hAnsiTheme="minorHAnsi" w:cstheme="minorHAnsi"/>
        </w:rPr>
        <w:t>, pentru acele situații în care unitatea administrativă teritorială județul, inclusiv partenerii, nu au posibilitatea obținerii dreptului de proprietate sau de administrare, după caz.</w:t>
      </w:r>
    </w:p>
    <w:p w14:paraId="5B3E8213" w14:textId="77777777" w:rsidR="0059359E" w:rsidRDefault="0059359E" w:rsidP="0059359E">
      <w:pPr>
        <w:tabs>
          <w:tab w:val="left" w:pos="0"/>
        </w:tabs>
        <w:spacing w:before="0"/>
        <w:ind w:left="0"/>
        <w:rPr>
          <w:b/>
        </w:rPr>
      </w:pPr>
    </w:p>
    <w:p w14:paraId="639485EC" w14:textId="77015776" w:rsidR="0059359E" w:rsidRDefault="0059359E" w:rsidP="0059359E">
      <w:pPr>
        <w:tabs>
          <w:tab w:val="left" w:pos="0"/>
        </w:tabs>
        <w:spacing w:before="0"/>
        <w:ind w:left="0"/>
        <w:rPr>
          <w:bCs/>
        </w:rPr>
      </w:pPr>
      <w:r w:rsidRPr="0059359E">
        <w:rPr>
          <w:bCs/>
        </w:rPr>
        <w:t>Pentru toate proiectele de investiţii în clădiri deținute de persoane fizice private</w:t>
      </w:r>
      <w:r>
        <w:rPr>
          <w:b/>
        </w:rPr>
        <w:t xml:space="preserve"> </w:t>
      </w:r>
      <w:r w:rsidRPr="0059359E">
        <w:rPr>
          <w:bCs/>
        </w:rPr>
        <w:t>(gospodării individuale)</w:t>
      </w:r>
      <w:r>
        <w:rPr>
          <w:bCs/>
        </w:rPr>
        <w:t xml:space="preserve"> </w:t>
      </w:r>
      <w:r w:rsidRPr="0059359E">
        <w:rPr>
          <w:bCs/>
        </w:rPr>
        <w:t xml:space="preserve">solicitantul are obligaţia, în condiţiile şi la termenele din ghid, în etapa de contractare, respectiv nu mai târziu </w:t>
      </w:r>
      <w:r w:rsidRPr="0059359E">
        <w:rPr>
          <w:bCs/>
        </w:rPr>
        <w:lastRenderedPageBreak/>
        <w:t xml:space="preserve">de semnarea contractului de finanţare, </w:t>
      </w:r>
      <w:r w:rsidRPr="00E77638">
        <w:rPr>
          <w:bCs/>
          <w:i/>
          <w:iCs/>
        </w:rPr>
        <w:t>de a face dovada dreptului de proprietate al persoanei care are domiciliul în locația respectivă din proiect</w:t>
      </w:r>
      <w:r>
        <w:rPr>
          <w:bCs/>
        </w:rPr>
        <w:t>.</w:t>
      </w:r>
    </w:p>
    <w:p w14:paraId="75470732" w14:textId="77777777" w:rsidR="005C45D9" w:rsidRDefault="005C45D9" w:rsidP="0059359E">
      <w:pPr>
        <w:tabs>
          <w:tab w:val="left" w:pos="0"/>
        </w:tabs>
        <w:spacing w:before="0"/>
        <w:ind w:left="0"/>
        <w:rPr>
          <w:bCs/>
        </w:rPr>
      </w:pPr>
    </w:p>
    <w:p w14:paraId="6BA42A78" w14:textId="77777777" w:rsidR="005C45D9" w:rsidRPr="005C45D9" w:rsidRDefault="005C45D9" w:rsidP="005C45D9">
      <w:pPr>
        <w:tabs>
          <w:tab w:val="left" w:pos="0"/>
        </w:tabs>
        <w:spacing w:before="0"/>
        <w:ind w:left="0"/>
        <w:rPr>
          <w:bCs/>
        </w:rPr>
      </w:pPr>
      <w:r w:rsidRPr="005C45D9">
        <w:rPr>
          <w:bCs/>
        </w:rPr>
        <w:t>Solicitantul va informa în termen de 5 zile lucrătoare Autoritatea de Management/OI cu privire la orice modificare survenită în circumstanțele sus-menționate pe parcursul procedurii de evaluare și contractare a cererii de finanțare, precum și pe parcursul derulării contractului de finanțare în cazul în care cererea de finanțare propusă va fi acceptată.</w:t>
      </w:r>
    </w:p>
    <w:p w14:paraId="13FE382E" w14:textId="77777777" w:rsidR="005C45D9" w:rsidRPr="005C45D9" w:rsidRDefault="005C45D9" w:rsidP="005C45D9">
      <w:pPr>
        <w:tabs>
          <w:tab w:val="left" w:pos="0"/>
        </w:tabs>
        <w:spacing w:before="0"/>
        <w:ind w:left="0"/>
        <w:rPr>
          <w:bCs/>
        </w:rPr>
      </w:pPr>
      <w:r w:rsidRPr="005C45D9">
        <w:rPr>
          <w:bCs/>
        </w:rPr>
        <w:t xml:space="preserve">Nu vor conduce la respingerea cererii de finanțare acele limite ale dreptului de proprietate care nu sunt incompatibile cu realizarea activităților proiectului (de ex. servituți legale, servitutea de trecere cu piciorul etc). </w:t>
      </w:r>
    </w:p>
    <w:p w14:paraId="37087150" w14:textId="77777777" w:rsidR="005C45D9" w:rsidRDefault="005C45D9" w:rsidP="0059359E">
      <w:pPr>
        <w:tabs>
          <w:tab w:val="left" w:pos="0"/>
        </w:tabs>
        <w:spacing w:before="0"/>
        <w:ind w:left="0"/>
        <w:rPr>
          <w:b/>
        </w:rPr>
      </w:pPr>
    </w:p>
    <w:p w14:paraId="4AFB78D4" w14:textId="77777777" w:rsidR="0059359E" w:rsidRPr="0059359E" w:rsidRDefault="0059359E" w:rsidP="0059359E">
      <w:pPr>
        <w:pStyle w:val="ListParagraph"/>
        <w:numPr>
          <w:ilvl w:val="0"/>
          <w:numId w:val="4"/>
        </w:numPr>
        <w:spacing w:after="0"/>
        <w:rPr>
          <w:rFonts w:asciiTheme="minorHAnsi" w:hAnsiTheme="minorHAnsi" w:cstheme="minorHAnsi"/>
          <w:color w:val="3494BA" w:themeColor="accent1"/>
        </w:rPr>
      </w:pPr>
      <w:r w:rsidRPr="0059359E">
        <w:rPr>
          <w:rFonts w:asciiTheme="minorHAnsi" w:hAnsiTheme="minorHAnsi" w:cstheme="minorHAnsi"/>
          <w:b/>
          <w:bCs/>
          <w:snapToGrid w:val="0"/>
          <w:color w:val="3494BA" w:themeColor="accent1"/>
        </w:rPr>
        <w:t>Cerințe privitoare la imobilele obiect al proiectului și obligații instituite prin finanțare</w:t>
      </w:r>
    </w:p>
    <w:p w14:paraId="1E3289E6" w14:textId="77777777" w:rsidR="0059359E" w:rsidRDefault="0059359E" w:rsidP="0059359E">
      <w:pPr>
        <w:tabs>
          <w:tab w:val="left" w:pos="0"/>
        </w:tabs>
        <w:spacing w:before="0"/>
        <w:rPr>
          <w:b/>
        </w:rPr>
      </w:pPr>
    </w:p>
    <w:p w14:paraId="580BDC6D"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pPr>
      <w:r w:rsidRPr="0059359E">
        <w:t xml:space="preserve">Imobilul/imobilele (teren și/sau construcții) care implică execuţia de lucrări de construcţii ce face/fac obiectul proiectului îndeplineşte/îndeplinesc </w:t>
      </w:r>
      <w:r w:rsidRPr="0059359E">
        <w:rPr>
          <w:b/>
        </w:rPr>
        <w:t xml:space="preserve">cumulativ </w:t>
      </w:r>
      <w:r w:rsidRPr="0059359E">
        <w:t xml:space="preserve">următoarele condiţii la momentul depunerii cererii de finanțare: </w:t>
      </w:r>
    </w:p>
    <w:p w14:paraId="5A142B05"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firstLine="450"/>
      </w:pPr>
      <w:r w:rsidRPr="0059359E">
        <w:t xml:space="preserve">sunt libere de orice sarcini sau interdicţii ce afectează implementarea operaţiunii; </w:t>
      </w:r>
    </w:p>
    <w:p w14:paraId="52C34E75"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hanging="270"/>
      </w:pPr>
      <w:r w:rsidRPr="0059359E">
        <w:t xml:space="preserve">nu fac obiectul unor litigii, aflate în curs de soluţionare la instanţele judecătoreşti, având ca obiect dreptul invocat de către solicitant pentru realizarea proiectului; </w:t>
      </w:r>
    </w:p>
    <w:p w14:paraId="29A5D112" w14:textId="77777777" w:rsidR="0059359E" w:rsidRPr="0059359E" w:rsidRDefault="0059359E">
      <w:pPr>
        <w:numPr>
          <w:ilvl w:val="0"/>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0" w:firstLine="450"/>
      </w:pPr>
      <w:r w:rsidRPr="0059359E">
        <w:t xml:space="preserve">nu fac obiectul revendicărilor potrivit unor legi speciale în materie sau dreptului comun. </w:t>
      </w:r>
    </w:p>
    <w:p w14:paraId="59526EF6"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pPr>
      <w:r w:rsidRPr="0059359E">
        <w:t>Perioada pentru care sunt conferite drepturile solicitanților eligibili și/sau partenerilor acestora asupra imobilelor ce fac obiectul proiectului trebuie să fie acoperitoare pentru durată menționată la art. 65 din Regulamentul (UE)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4A77C1E3"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rPr>
          <w:color w:val="C00000"/>
        </w:rPr>
      </w:pPr>
    </w:p>
    <w:p w14:paraId="6F55F83B"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tabs>
          <w:tab w:val="right" w:pos="11057"/>
        </w:tabs>
        <w:suppressAutoHyphens/>
        <w:spacing w:before="0" w:after="0"/>
        <w:ind w:left="0" w:right="57"/>
        <w:rPr>
          <w:rFonts w:eastAsia="Times New Roman"/>
          <w:b/>
          <w:color w:val="C00000"/>
          <w:spacing w:val="-2"/>
        </w:rPr>
      </w:pPr>
      <w:r w:rsidRPr="0059359E">
        <w:rPr>
          <w:rFonts w:eastAsia="Times New Roman"/>
          <w:b/>
          <w:color w:val="C00000"/>
          <w:spacing w:val="-2"/>
        </w:rPr>
        <w:t xml:space="preserve">Atenție! </w:t>
      </w:r>
    </w:p>
    <w:p w14:paraId="5020D64F" w14:textId="3DE08658"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tabs>
          <w:tab w:val="right" w:pos="11057"/>
        </w:tabs>
        <w:suppressAutoHyphens/>
        <w:spacing w:before="0" w:after="0"/>
        <w:ind w:left="0" w:right="57"/>
        <w:rPr>
          <w:rFonts w:eastAsia="Times New Roman"/>
          <w:b/>
          <w:spacing w:val="-2"/>
        </w:rPr>
      </w:pPr>
      <w:r w:rsidRPr="0059359E">
        <w:rPr>
          <w:rFonts w:eastAsia="Times New Roman"/>
          <w:spacing w:val="-2"/>
        </w:rPr>
        <w:t>Dacă pe parcursul perioadei de implementare a contractului de finanțare, sau în perioada de valabilitate a acestuia sunt afectate condițiile de construire/exploatare asupra infrastructurii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16CA7DAD"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pPr>
      <w:r w:rsidRPr="0059359E">
        <w:t xml:space="preserve">În cazul în care va primi finanțare, </w:t>
      </w:r>
      <w:r w:rsidRPr="0059359E">
        <w:rPr>
          <w:rFonts w:eastAsia="SimSun"/>
        </w:rPr>
        <w:t xml:space="preserve">în conformitate cu prevederile art. 65 din Regulamentul (UE) nr. 2021/1060, </w:t>
      </w:r>
      <w:r w:rsidRPr="0059359E">
        <w:t>pentru o perioadă de 5 ani de la data efectuării plății finale, solicitantul trebuie să:</w:t>
      </w:r>
    </w:p>
    <w:p w14:paraId="71441BAE" w14:textId="77777777"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 xml:space="preserve">mențină investiția realizată </w:t>
      </w:r>
      <w:r w:rsidRPr="0059359E">
        <w:rPr>
          <w:rFonts w:eastAsia="SimSun"/>
        </w:rPr>
        <w:t>asigurând costurile de funcționare, întreținere și serviciile asociate necesare, în vederea asigurării sustenabilității financiare a acesteia;</w:t>
      </w:r>
    </w:p>
    <w:p w14:paraId="5CE6C723" w14:textId="36B0CE6C"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nu realizeze o modificare a calității de proprietar/administrator</w:t>
      </w:r>
      <w:r w:rsidR="00E77638">
        <w:t xml:space="preserve"> </w:t>
      </w:r>
      <w:r w:rsidRPr="0059359E">
        <w:t xml:space="preserve">alte calităţi asupra unui element de infrastructură/ </w:t>
      </w:r>
      <w:r w:rsidR="00E77638">
        <w:t>echipament</w:t>
      </w:r>
      <w:r w:rsidRPr="0059359E">
        <w:t xml:space="preserve"> </w:t>
      </w:r>
      <w:r w:rsidRPr="0059359E">
        <w:rPr>
          <w:shd w:val="clear" w:color="auto" w:fill="FFFFFF"/>
        </w:rPr>
        <w:t>care să confere un avantaj nejustificat unei întreprinderi sau unui organism public;</w:t>
      </w:r>
    </w:p>
    <w:p w14:paraId="1C727D55" w14:textId="77777777" w:rsidR="0059359E" w:rsidRPr="0059359E" w:rsidRDefault="0059359E">
      <w:pPr>
        <w:numPr>
          <w:ilvl w:val="0"/>
          <w:numId w:val="37"/>
        </w:numPr>
        <w:pBdr>
          <w:top w:val="none" w:sz="0" w:space="0" w:color="auto"/>
          <w:left w:val="none" w:sz="0" w:space="0" w:color="auto"/>
          <w:bottom w:val="none" w:sz="0" w:space="0" w:color="auto"/>
          <w:right w:val="none" w:sz="0" w:space="0" w:color="auto"/>
          <w:between w:val="none" w:sz="0" w:space="0" w:color="auto"/>
        </w:pBdr>
        <w:spacing w:before="0" w:after="0"/>
        <w:ind w:left="0" w:firstLine="0"/>
        <w:rPr>
          <w:rFonts w:eastAsia="SimSun"/>
        </w:rPr>
      </w:pPr>
      <w:r w:rsidRPr="0059359E">
        <w:t>nu realizeze o modificare substanțială care afectează natura, obiectivele sau condițiile de realizare și care ar determina subminarea obiectivelor inițiale ale acesteia.</w:t>
      </w:r>
    </w:p>
    <w:p w14:paraId="6F3EE3C4" w14:textId="77777777" w:rsidR="0059359E" w:rsidRPr="0059359E" w:rsidRDefault="0059359E" w:rsidP="0059359E">
      <w:pPr>
        <w:pBdr>
          <w:top w:val="none" w:sz="0" w:space="0" w:color="auto"/>
          <w:left w:val="none" w:sz="0" w:space="0" w:color="auto"/>
          <w:bottom w:val="none" w:sz="0" w:space="0" w:color="auto"/>
          <w:right w:val="none" w:sz="0" w:space="0" w:color="auto"/>
          <w:between w:val="none" w:sz="0" w:space="0" w:color="auto"/>
        </w:pBdr>
        <w:spacing w:after="0"/>
        <w:ind w:left="0"/>
        <w:rPr>
          <w:rFonts w:eastAsia="Times New Roman"/>
          <w:b/>
          <w:highlight w:val="cyan"/>
        </w:rPr>
      </w:pPr>
      <w:r w:rsidRPr="0059359E">
        <w:rPr>
          <w:rFonts w:eastAsia="SimSun"/>
        </w:rPr>
        <w:t xml:space="preserve">Se va avea în vedere că în conformitate cu </w:t>
      </w:r>
      <w:r w:rsidRPr="0059359E">
        <w:rPr>
          <w:shd w:val="clear" w:color="auto" w:fill="FFFFFF"/>
        </w:rPr>
        <w:t xml:space="preserve">prevederile art. 65 din Regulamentul (UE) nr. </w:t>
      </w:r>
      <w:r w:rsidRPr="0059359E">
        <w:rPr>
          <w:rFonts w:eastAsia="SimSun"/>
        </w:rPr>
        <w:t>1060/2021, r</w:t>
      </w:r>
      <w:r w:rsidRPr="0059359E">
        <w:rPr>
          <w:shd w:val="clear" w:color="auto" w:fill="FFFFFF"/>
        </w:rPr>
        <w:t>ambursarea efectuată pe motivul nerespectării dispozițiilor din acest articol este proporțională cu perioada de neconformitate.</w:t>
      </w:r>
    </w:p>
    <w:p w14:paraId="3AB52E6D" w14:textId="77777777" w:rsidR="0059359E" w:rsidRDefault="0059359E" w:rsidP="0059359E">
      <w:pPr>
        <w:tabs>
          <w:tab w:val="left" w:pos="0"/>
        </w:tabs>
        <w:spacing w:before="0"/>
        <w:ind w:left="0"/>
        <w:rPr>
          <w:b/>
        </w:rPr>
      </w:pPr>
    </w:p>
    <w:p w14:paraId="05728907" w14:textId="5D958389" w:rsidR="0059359E" w:rsidRDefault="00790FAE" w:rsidP="005C45D9">
      <w:pPr>
        <w:tabs>
          <w:tab w:val="left" w:pos="0"/>
        </w:tabs>
        <w:spacing w:before="0"/>
        <w:ind w:left="0"/>
        <w:rPr>
          <w:b/>
        </w:rPr>
      </w:pPr>
      <w:r>
        <w:rPr>
          <w:b/>
          <w:bCs/>
          <w:snapToGrid w:val="0"/>
        </w:rPr>
        <w:lastRenderedPageBreak/>
        <w:t>4</w:t>
      </w:r>
      <w:r w:rsidR="005C45D9" w:rsidRPr="005C45D9">
        <w:rPr>
          <w:b/>
          <w:bCs/>
          <w:snapToGrid w:val="0"/>
        </w:rPr>
        <w:t xml:space="preserve">) </w:t>
      </w:r>
      <w:r w:rsidR="005C45D9" w:rsidRPr="005C45D9">
        <w:rPr>
          <w:b/>
          <w:bCs/>
          <w:snapToGrid w:val="0"/>
          <w:color w:val="3494BA"/>
        </w:rPr>
        <w:t>Capacitatea financiară a solicitantului (inclusiv a partenerilor, dacă este cazul) pentru asigurarea sustenabilității financiare a investiţiei</w:t>
      </w:r>
    </w:p>
    <w:p w14:paraId="28015814" w14:textId="77777777" w:rsidR="005C45D9" w:rsidRPr="005C45D9" w:rsidRDefault="005C45D9" w:rsidP="005C45D9">
      <w:pPr>
        <w:pBdr>
          <w:top w:val="none" w:sz="0" w:space="0" w:color="auto"/>
          <w:left w:val="none" w:sz="0" w:space="0" w:color="auto"/>
          <w:bottom w:val="none" w:sz="0" w:space="0" w:color="auto"/>
          <w:right w:val="none" w:sz="0" w:space="0" w:color="auto"/>
          <w:between w:val="none" w:sz="0" w:space="0" w:color="auto"/>
        </w:pBdr>
        <w:spacing w:after="0"/>
        <w:ind w:left="0"/>
      </w:pPr>
      <w:bookmarkStart w:id="111" w:name="_Hlk116932560"/>
      <w:r w:rsidRPr="005C45D9">
        <w:rPr>
          <w:rFonts w:eastAsia="SimSun"/>
        </w:rPr>
        <w:t xml:space="preserve">Solicitantul (inclusiv partenerii, dacă/unde este cazul) va anexa, la depunerea cererii de finanţare, Declaraţia unică (Anexa 3 la prezentul Ghid) </w:t>
      </w:r>
      <w:bookmarkStart w:id="112" w:name="_Hlk116588395"/>
      <w:r w:rsidRPr="005C45D9">
        <w:rPr>
          <w:rFonts w:eastAsia="SimSun"/>
        </w:rPr>
        <w:t xml:space="preserve">și Hotărârea/Hotărârile de consiliu </w:t>
      </w:r>
      <w:r w:rsidRPr="005C45D9">
        <w:t xml:space="preserve">(Anexa 13 la prezentul Ghid) </w:t>
      </w:r>
      <w:r w:rsidRPr="005C45D9">
        <w:rPr>
          <w:rFonts w:eastAsia="SimSun"/>
        </w:rPr>
        <w:t>prin care asigură:</w:t>
      </w:r>
    </w:p>
    <w:p w14:paraId="569CB24F"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contribuţia propie la valoarea cheltuielilor eligibile de minimum 2% din valoarea cheltuielilor eligibile;</w:t>
      </w:r>
    </w:p>
    <w:p w14:paraId="54715FA2"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finanţarea cheltuielilor neeligibile ale proiectului, unde/dacă este cazul;</w:t>
      </w:r>
    </w:p>
    <w:p w14:paraId="1C6EA903"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resursele financiare necesare implementării optime a proiectului în condiţiile rambursării ulterioare a cheltuielilor eligibile din instrumente structurale, respectiv asigurarea altor sume necesare implementării proiectului;</w:t>
      </w:r>
    </w:p>
    <w:p w14:paraId="5C56A5CA" w14:textId="77777777" w:rsidR="005C45D9" w:rsidRP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rPr>
          <w:rFonts w:eastAsia="SimSun"/>
        </w:rPr>
        <w:t>menținerea investiției realizate</w:t>
      </w:r>
      <w:r w:rsidRPr="005C45D9">
        <w:t xml:space="preserve"> și finanțarea cheltuielilor de funcționare, întreținere și mentenanță a acesteia și a serviciilor asociate necesare, în vederea asigurării sustenabilității financiare, </w:t>
      </w:r>
      <w:r w:rsidRPr="005C45D9">
        <w:rPr>
          <w:rFonts w:eastAsia="SimSun"/>
        </w:rPr>
        <w:t>pe o perioadă de 5 ani de la data efectuării plății finale</w:t>
      </w:r>
      <w:r w:rsidRPr="005C45D9">
        <w:t>;</w:t>
      </w:r>
    </w:p>
    <w:p w14:paraId="03231E16" w14:textId="37EBD34F" w:rsidR="005C45D9" w:rsidRDefault="005C45D9">
      <w:pPr>
        <w:numPr>
          <w:ilvl w:val="1"/>
          <w:numId w:val="39"/>
        </w:numPr>
        <w:pBdr>
          <w:top w:val="none" w:sz="0" w:space="0" w:color="auto"/>
          <w:left w:val="none" w:sz="0" w:space="0" w:color="auto"/>
          <w:bottom w:val="none" w:sz="0" w:space="0" w:color="auto"/>
          <w:right w:val="none" w:sz="0" w:space="0" w:color="auto"/>
          <w:between w:val="none" w:sz="0" w:space="0" w:color="auto"/>
        </w:pBdr>
        <w:spacing w:before="0" w:after="160"/>
        <w:ind w:left="540" w:firstLine="0"/>
        <w:contextualSpacing/>
      </w:pPr>
      <w:r w:rsidRPr="005C45D9">
        <w:t>aprobarea indicatorilor tehnico-economici și a proiectului de investiții cu indicarea surselor de finanțare</w:t>
      </w:r>
    </w:p>
    <w:bookmarkEnd w:id="111"/>
    <w:bookmarkEnd w:id="112"/>
    <w:p w14:paraId="044BDD43" w14:textId="77777777" w:rsidR="0059359E" w:rsidRDefault="0059359E" w:rsidP="0059359E">
      <w:pPr>
        <w:tabs>
          <w:tab w:val="left" w:pos="0"/>
        </w:tabs>
        <w:spacing w:before="0"/>
        <w:rPr>
          <w:b/>
        </w:rPr>
      </w:pPr>
    </w:p>
    <w:p w14:paraId="764A9933" w14:textId="032CF134" w:rsidR="005C45D9" w:rsidRDefault="00790FAE" w:rsidP="005C45D9">
      <w:pPr>
        <w:tabs>
          <w:tab w:val="left" w:pos="0"/>
        </w:tabs>
        <w:spacing w:before="0"/>
        <w:ind w:left="0"/>
        <w:rPr>
          <w:b/>
        </w:rPr>
      </w:pPr>
      <w:r>
        <w:rPr>
          <w:b/>
        </w:rPr>
        <w:t>5</w:t>
      </w:r>
      <w:r w:rsidR="005C45D9">
        <w:rPr>
          <w:b/>
        </w:rPr>
        <w:t xml:space="preserve">) </w:t>
      </w:r>
      <w:r w:rsidR="005C45D9" w:rsidRPr="005C45D9">
        <w:rPr>
          <w:b/>
          <w:bCs/>
          <w:snapToGrid w:val="0"/>
          <w:color w:val="3494BA"/>
        </w:rPr>
        <w:t>Solicitantul se angajează să mențină parametrii energetici specifici la care s-au angajat pentru o perioadă de minimum 5 ani după expirarea duratei de implementare a proiectului</w:t>
      </w:r>
      <w:r w:rsidR="005C45D9">
        <w:rPr>
          <w:b/>
          <w:bCs/>
          <w:snapToGrid w:val="0"/>
          <w:color w:val="3494BA"/>
        </w:rPr>
        <w:t>.</w:t>
      </w:r>
    </w:p>
    <w:p w14:paraId="7F0C8F25" w14:textId="5EC084D3" w:rsidR="00A657B7" w:rsidRPr="00F137FD" w:rsidRDefault="00F137FD">
      <w:pPr>
        <w:spacing w:before="0" w:after="0"/>
        <w:ind w:left="0"/>
        <w:rPr>
          <w:bCs/>
        </w:rPr>
      </w:pPr>
      <w:r w:rsidRPr="00F137FD">
        <w:rPr>
          <w:bCs/>
        </w:rPr>
        <w:t>Se va urmări  respectarea capacității estimate pentru necesarul de consum, conform analizei din Lista de angajament.</w:t>
      </w:r>
    </w:p>
    <w:p w14:paraId="1FDC86F7" w14:textId="4E923A2F" w:rsidR="00A657B7" w:rsidRDefault="00245051">
      <w:pPr>
        <w:pStyle w:val="Heading3"/>
        <w:numPr>
          <w:ilvl w:val="2"/>
          <w:numId w:val="3"/>
        </w:numPr>
        <w:ind w:left="0" w:firstLine="0"/>
      </w:pPr>
      <w:bookmarkStart w:id="113" w:name="_Hlk143074584_Copy_1"/>
      <w:bookmarkStart w:id="114" w:name="_Toc213405567"/>
      <w:bookmarkEnd w:id="113"/>
      <w:r>
        <w:t>Categorii de parteneri eligibili</w:t>
      </w:r>
      <w:bookmarkEnd w:id="114"/>
      <w:r>
        <w:tab/>
      </w:r>
    </w:p>
    <w:p w14:paraId="515BFB3F" w14:textId="4B3DE22C" w:rsidR="005C45D9" w:rsidRDefault="005C45D9" w:rsidP="005C45D9">
      <w:r w:rsidRPr="005C45D9">
        <w:t>În cadrul prezentului apel de proiecte sunt eligibili ca parteneri:</w:t>
      </w:r>
    </w:p>
    <w:p w14:paraId="34257E54" w14:textId="7C3FF91F" w:rsidR="005C45D9" w:rsidRDefault="005C45D9">
      <w:pPr>
        <w:pStyle w:val="ListParagraph"/>
        <w:numPr>
          <w:ilvl w:val="0"/>
          <w:numId w:val="40"/>
        </w:numPr>
      </w:pPr>
      <w:r w:rsidRPr="005C45D9">
        <w:t>UAT județul în calitate de lider și UAT municipiu/orașul/comuna</w:t>
      </w:r>
    </w:p>
    <w:p w14:paraId="042848A3" w14:textId="77777777" w:rsidR="005C45D9" w:rsidRDefault="005C45D9" w:rsidP="005C45D9">
      <w:pPr>
        <w:pStyle w:val="ListParagraph"/>
      </w:pPr>
    </w:p>
    <w:p w14:paraId="25DFDB57" w14:textId="77777777" w:rsidR="005C45D9" w:rsidRDefault="005C45D9" w:rsidP="005C45D9">
      <w:pPr>
        <w:ind w:left="0"/>
      </w:pPr>
      <w:r>
        <w:t xml:space="preserve">Totodată, reprezentanții săi legali partenerilor NU trebuie să se afle în niciuna din situaţiile de excludere prezentate în Declarația unică (Anexa 3 la prezentul Ghid). </w:t>
      </w:r>
    </w:p>
    <w:p w14:paraId="6D3E5FD3" w14:textId="030F5ED5" w:rsidR="005C45D9" w:rsidRDefault="005C45D9" w:rsidP="005C45D9">
      <w:pPr>
        <w:ind w:left="0"/>
      </w:pPr>
      <w:r>
        <w:t>A se vedea și secțiunea  5.1.1 Cerințe privind elibigilitatea solicitanților și partenerilor.</w:t>
      </w:r>
    </w:p>
    <w:p w14:paraId="3357187F" w14:textId="77777777" w:rsidR="005C45D9" w:rsidRPr="005C45D9" w:rsidRDefault="005C45D9" w:rsidP="005C45D9">
      <w:pPr>
        <w:ind w:left="0"/>
      </w:pPr>
    </w:p>
    <w:p w14:paraId="6A326368" w14:textId="77777777" w:rsidR="00A657B7" w:rsidRDefault="00245051">
      <w:pPr>
        <w:pStyle w:val="Heading3"/>
        <w:numPr>
          <w:ilvl w:val="2"/>
          <w:numId w:val="3"/>
        </w:numPr>
        <w:ind w:left="0" w:firstLine="0"/>
      </w:pPr>
      <w:bookmarkStart w:id="115" w:name="_Toc213405568"/>
      <w:r>
        <w:t>Reguli și cerințe privind parteneriatul (NA)</w:t>
      </w:r>
      <w:bookmarkEnd w:id="115"/>
    </w:p>
    <w:p w14:paraId="2A1C7708" w14:textId="67515148" w:rsidR="00A657B7" w:rsidRDefault="00A657B7">
      <w:pPr>
        <w:spacing w:before="0"/>
        <w:ind w:left="1440"/>
      </w:pPr>
    </w:p>
    <w:p w14:paraId="5C8CCC20" w14:textId="77777777" w:rsidR="005C45D9" w:rsidRDefault="005C45D9" w:rsidP="005C45D9">
      <w:pPr>
        <w:spacing w:before="0"/>
      </w:pPr>
      <w:r>
        <w:t>Criteriile de eligibilitate ale solicitantului se aplică fiecărui partener din cadrul acordului de parteneriat.</w:t>
      </w:r>
    </w:p>
    <w:p w14:paraId="207FDCAA" w14:textId="77777777" w:rsidR="005C45D9" w:rsidRDefault="005C45D9" w:rsidP="005C45D9">
      <w:pPr>
        <w:spacing w:before="0"/>
      </w:pPr>
      <w:r>
        <w:t>Unitățile administrativ-teritoriale se situează în județele Gorj, Hunedoara, Dolj, Galați, Prahova și Mureș.</w:t>
      </w:r>
    </w:p>
    <w:p w14:paraId="7B68044F" w14:textId="76186235" w:rsidR="005C45D9" w:rsidRDefault="005C45D9" w:rsidP="005C45D9">
      <w:pPr>
        <w:spacing w:before="0"/>
      </w:pPr>
      <w:r>
        <w:t>Liderul de parteneriat trebuie să fie reprezentat în mod obligatoriu de UAT județul, în cazul parteneriatului.</w:t>
      </w:r>
    </w:p>
    <w:p w14:paraId="349B8081" w14:textId="77777777" w:rsidR="005C45D9" w:rsidRDefault="005C45D9" w:rsidP="005C45D9">
      <w:pPr>
        <w:spacing w:before="0"/>
      </w:pPr>
      <w:r>
        <w:t xml:space="preserve">În scopul constituirii parteneriatelor se încheie Acorduri de parteneriat conform prevederilor cap. 8 - Proiecte implementate în parteneriat din OUG nr.133/2021. (Anexa 14). </w:t>
      </w:r>
    </w:p>
    <w:p w14:paraId="646F1FB7" w14:textId="4C9D9A06" w:rsidR="005C45D9" w:rsidRDefault="005C45D9" w:rsidP="005C45D9">
      <w:pPr>
        <w:spacing w:before="0"/>
      </w:pPr>
      <w:r>
        <w:t>În cazul parteneriatului, dovada capacităţii de cofinanţare se face de lider şi de partener. Prin acordul de parteneriat se va stabili cota-parte cu care va participa fiecare partener la asigurarea contribuţiei proprii a solicitantului. Se va anexa Hotărârea  CJ sau CL, a fiecărui partener, privind participarea la asigurarea finanţării proiectului, cu indicarea sumelor cu care participă la acoperirea fiecărei categorii de cheltuieli.</w:t>
      </w:r>
    </w:p>
    <w:p w14:paraId="210F371D" w14:textId="77777777" w:rsidR="00A657B7" w:rsidRDefault="00245051">
      <w:pPr>
        <w:pStyle w:val="Heading2"/>
        <w:numPr>
          <w:ilvl w:val="1"/>
          <w:numId w:val="3"/>
        </w:numPr>
      </w:pPr>
      <w:bookmarkStart w:id="116" w:name="_Toc142297624"/>
      <w:bookmarkStart w:id="117" w:name="_Toc213405569"/>
      <w:r>
        <w:t>Eligibilitatea activităților</w:t>
      </w:r>
      <w:bookmarkEnd w:id="116"/>
      <w:bookmarkEnd w:id="117"/>
    </w:p>
    <w:p w14:paraId="5FC218C4" w14:textId="77777777" w:rsidR="00A657B7" w:rsidRDefault="00A657B7"/>
    <w:p w14:paraId="343D111D" w14:textId="77777777" w:rsidR="00A657B7" w:rsidRDefault="00245051">
      <w:pPr>
        <w:pStyle w:val="Heading3"/>
        <w:numPr>
          <w:ilvl w:val="2"/>
          <w:numId w:val="3"/>
        </w:numPr>
        <w:ind w:left="0" w:firstLine="0"/>
      </w:pPr>
      <w:bookmarkStart w:id="118" w:name="_Toc213405570"/>
      <w:r>
        <w:lastRenderedPageBreak/>
        <w:t>Cerințe generale privind eligibilitatea activităților</w:t>
      </w:r>
      <w:bookmarkEnd w:id="118"/>
    </w:p>
    <w:p w14:paraId="25C64D52" w14:textId="77777777" w:rsidR="00A657B7" w:rsidRDefault="00A657B7"/>
    <w:p w14:paraId="4390F6B7" w14:textId="6281ECF4" w:rsidR="00A657B7" w:rsidRDefault="00245051">
      <w:pPr>
        <w:ind w:left="0"/>
      </w:pPr>
      <w:r>
        <w:t>Activitățile propuse trebuie să se încadreze în categoriile de acțiuni finanțabile prin PTJ, corespunzătoare Priorității ” Atenuarea impactului socio-economic al tranziției la neutralitatea climatică”, Obiectivul Specific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w:t>
      </w:r>
      <w:r>
        <w:t xml:space="preserve">dului de la Paris. (FTJ)”, Componenta ” </w:t>
      </w:r>
      <w:r w:rsidR="00E77638" w:rsidRPr="00E77638">
        <w:t>Dezvoltarea surselor de energie regenerabilă  în perspectiva creării comunităților de energie</w:t>
      </w:r>
      <w:r>
        <w:t>”, definite în prezentul ghid al solicitantului.</w:t>
      </w:r>
    </w:p>
    <w:p w14:paraId="2B559F9A" w14:textId="77777777" w:rsidR="00A657B7" w:rsidRPr="00E77638" w:rsidRDefault="00245051">
      <w:pPr>
        <w:rPr>
          <w:rFonts w:ascii="Calibri Light" w:eastAsia="Calibri Light" w:hAnsi="Calibri Light" w:cs="Calibri Light"/>
          <w:b/>
          <w:color w:val="3494BA" w:themeColor="accent1"/>
          <w:sz w:val="24"/>
          <w:szCs w:val="24"/>
          <w:u w:val="single"/>
        </w:rPr>
      </w:pPr>
      <w:bookmarkStart w:id="119" w:name="_Toc143499321"/>
      <w:r w:rsidRPr="00E77638">
        <w:rPr>
          <w:rFonts w:ascii="Calibri Light" w:eastAsia="Calibri Light" w:hAnsi="Calibri Light" w:cs="Calibri Light"/>
          <w:b/>
          <w:color w:val="3494BA" w:themeColor="accent1"/>
          <w:sz w:val="24"/>
          <w:szCs w:val="24"/>
          <w:u w:val="single"/>
        </w:rPr>
        <w:t>Cerințe privind eligibilitatea proiectului</w:t>
      </w:r>
      <w:bookmarkEnd w:id="119"/>
    </w:p>
    <w:p w14:paraId="0ED8979D" w14:textId="77777777" w:rsidR="00A657B7" w:rsidRPr="00F137FD" w:rsidRDefault="00245051">
      <w:pPr>
        <w:numPr>
          <w:ilvl w:val="0"/>
          <w:numId w:val="7"/>
        </w:numPr>
      </w:pPr>
      <w:r w:rsidRPr="00F137FD">
        <w:t>Încadrarea investiției în obiectivul programului, a priorității și acțiunii pentru care se lansează apelurile de proiecte prevăzute de prezentul ghid.</w:t>
      </w:r>
    </w:p>
    <w:p w14:paraId="263D0C26" w14:textId="3023449B" w:rsidR="00A657B7" w:rsidRDefault="00245051">
      <w:pPr>
        <w:ind w:left="0"/>
      </w:pPr>
      <w:r>
        <w:t xml:space="preserve">Proiectul trebuie să fie corelat cu categoriile de acțiuni finanțabile prin PTJ, Obiectivul Specific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p>
    <w:p w14:paraId="0F07C46E" w14:textId="77777777" w:rsidR="00A657B7" w:rsidRPr="00F137FD" w:rsidRDefault="00245051">
      <w:pPr>
        <w:numPr>
          <w:ilvl w:val="0"/>
          <w:numId w:val="7"/>
        </w:numPr>
      </w:pPr>
      <w:r w:rsidRPr="00F137FD">
        <w:t>Locul de implementare</w:t>
      </w:r>
    </w:p>
    <w:p w14:paraId="38077366" w14:textId="77777777" w:rsidR="00A657B7" w:rsidRDefault="00245051">
      <w:pPr>
        <w:ind w:left="0"/>
        <w:rPr>
          <w:b/>
          <w:bCs/>
        </w:rPr>
      </w:pPr>
      <w:bookmarkStart w:id="120" w:name="_Hlk143075521"/>
      <w:r>
        <w:t xml:space="preserve">Clădirea publică finanțată trebuie să fie localizată în zona vizată de apel. </w:t>
      </w:r>
      <w:bookmarkEnd w:id="120"/>
      <w:r>
        <w:t xml:space="preserve">Zona vizată </w:t>
      </w:r>
      <w:r>
        <w:rPr>
          <w:b/>
          <w:bCs/>
        </w:rPr>
        <w:t>de apel este detaliată la secțiunea 3.5 la prezentul ghid.</w:t>
      </w:r>
    </w:p>
    <w:p w14:paraId="10E2D5D1" w14:textId="77777777" w:rsidR="00A657B7" w:rsidRDefault="00245051">
      <w:pPr>
        <w:ind w:left="0"/>
        <w:rPr>
          <w:bCs/>
        </w:rPr>
      </w:pPr>
      <w:r>
        <w:rPr>
          <w:bCs/>
        </w:rPr>
        <w:t>Zona vizată de investițiile asociate apelului de proiecte reprezintă teritoriul administrativ al județului corespunzător priorității</w:t>
      </w:r>
    </w:p>
    <w:p w14:paraId="69316A85" w14:textId="77777777" w:rsidR="00A657B7" w:rsidRPr="005F0F69" w:rsidRDefault="00245051">
      <w:pPr>
        <w:ind w:left="0"/>
        <w:rPr>
          <w:b/>
          <w:bCs/>
        </w:rPr>
      </w:pPr>
      <w:r w:rsidRPr="005F0F69">
        <w:rPr>
          <w:b/>
          <w:bCs/>
        </w:rPr>
        <w:t>Atenție!</w:t>
      </w:r>
    </w:p>
    <w:p w14:paraId="27D067FB" w14:textId="77777777" w:rsidR="00A657B7" w:rsidRPr="005F0F69" w:rsidRDefault="00245051">
      <w:pPr>
        <w:ind w:left="0"/>
      </w:pPr>
      <w:r w:rsidRPr="005F0F69">
        <w:t>În cazul apelului de proiecte PTJ/P2/3.1/3.B /HD/ITI VJ  aferent investițiilor productive pentru ITI Valea Jiului, locația de implementare a investiției este exclusiv cea asociată microregiunii Valea Jiului, în conformitate cu prevederile HG 901/13.07.2022 privind aprobarea </w:t>
      </w:r>
      <w:r w:rsidR="00A657B7">
        <w:fldChar w:fldCharType="begin"/>
      </w:r>
      <w:r w:rsidR="00A657B7">
        <w:instrText>HYPERLINK "https://legislatie.just.ro/Public/DetaliiDocumentAfis/257849"</w:instrText>
      </w:r>
      <w:r w:rsidR="00A657B7">
        <w:fldChar w:fldCharType="separate"/>
      </w:r>
      <w:r w:rsidR="00A657B7" w:rsidRPr="005F0F69">
        <w:t>Strategiei</w:t>
      </w:r>
      <w:r w:rsidR="00A657B7">
        <w:fldChar w:fldCharType="end"/>
      </w:r>
      <w:r w:rsidRPr="005F0F69">
        <w:t xml:space="preserve"> de dezvoltare economică, socială și de mediu a Văii Jiului, pentru perioada 2022-2030, respectiv (Orașul Uricani, Municipiul Lupeni, Municipiul Vulcan, Orașul Aninoasa, Municipiul Petroșani, Orașul Petrila, inclusiv satele aparținătoare). </w:t>
      </w:r>
    </w:p>
    <w:p w14:paraId="0131BEBC" w14:textId="77777777" w:rsidR="00A657B7" w:rsidRDefault="00A657B7">
      <w:pPr>
        <w:ind w:left="0"/>
      </w:pPr>
    </w:p>
    <w:p w14:paraId="76CA9F15" w14:textId="485D893B" w:rsidR="00A657B7" w:rsidRPr="00F137FD" w:rsidRDefault="00245051" w:rsidP="00F137FD">
      <w:pPr>
        <w:numPr>
          <w:ilvl w:val="0"/>
          <w:numId w:val="7"/>
        </w:numPr>
      </w:pPr>
      <w:r w:rsidRPr="00904F81">
        <w:t>Proiectul  propus spre finanțare nu trebuie să fie încheiat în mod fizic sau implementat integral înainte de depunerea cererii de finanțare, indiferent dacă toate plățile aferente au fost realizate sau nu de beneficiar (art. 63 din Regulamentul (UE) 2021/1060).</w:t>
      </w:r>
      <w:r w:rsidR="00904F81" w:rsidRPr="00F137FD">
        <w:rPr>
          <w:lang w:val="fr-FR"/>
        </w:rPr>
        <w:t xml:space="preserve"> </w:t>
      </w:r>
    </w:p>
    <w:p w14:paraId="5645D1C1" w14:textId="77777777" w:rsidR="00A657B7" w:rsidRPr="00904F81" w:rsidRDefault="00A657B7">
      <w:pPr>
        <w:pStyle w:val="ListParagraph"/>
        <w:widowControl w:val="0"/>
        <w:spacing w:before="60"/>
        <w:ind w:left="360"/>
        <w:rPr>
          <w:lang w:val="fr-FR"/>
        </w:rPr>
      </w:pPr>
    </w:p>
    <w:p w14:paraId="4F8CACF5" w14:textId="77777777" w:rsidR="00A657B7" w:rsidRPr="00904F81" w:rsidRDefault="00245051">
      <w:pPr>
        <w:numPr>
          <w:ilvl w:val="0"/>
          <w:numId w:val="7"/>
        </w:numPr>
      </w:pPr>
      <w:bookmarkStart w:id="121" w:name="_Hlk143076217"/>
      <w:bookmarkEnd w:id="121"/>
      <w:r w:rsidRPr="00904F81">
        <w:t xml:space="preserve"> Proiectul propus prin cererea de finanţare nu a mai beneficiat de finanțare publică în ultimii 5 ani înainte de data depunerii cererii de finanţare, pentru același tip de activități –costuri eligibile - realizate asupra aceleiași infrastructuri/ aceluiași segment de infrastructură şi nu beneficiază de fonduri publice, parțial sau în totalitate, din alte surse de finanțare.</w:t>
      </w:r>
    </w:p>
    <w:p w14:paraId="62D416A8" w14:textId="77777777" w:rsidR="00A657B7" w:rsidRDefault="00245051">
      <w:r>
        <w:rPr>
          <w:bCs/>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7D761B32" w14:textId="77777777" w:rsidR="00A657B7" w:rsidRDefault="00245051">
      <w:r>
        <w:t>Acest aspect face obiectul Declarației unice. Perioada de 5 ani, menționată mai sus se calculează de la data finalizării implementării proiectului anterior.</w:t>
      </w:r>
    </w:p>
    <w:p w14:paraId="36FE4A25" w14:textId="77777777" w:rsidR="00A657B7" w:rsidRDefault="00A657B7">
      <w:pPr>
        <w:rPr>
          <w:b/>
        </w:rPr>
      </w:pPr>
    </w:p>
    <w:p w14:paraId="546F4661" w14:textId="77777777" w:rsidR="00A657B7" w:rsidRPr="00904F81" w:rsidRDefault="00245051">
      <w:pPr>
        <w:pStyle w:val="ListParagraph"/>
        <w:numPr>
          <w:ilvl w:val="0"/>
          <w:numId w:val="7"/>
        </w:numPr>
      </w:pPr>
      <w:r w:rsidRPr="00904F81">
        <w:t>Perioada de implementare a activităților proiectului este rezonabilă și nu depășește 31 decembrie 2029</w:t>
      </w:r>
    </w:p>
    <w:p w14:paraId="5FA12F30" w14:textId="108A1C0F" w:rsidR="00F137FD" w:rsidRDefault="00F137FD" w:rsidP="00F137FD">
      <w:r>
        <w:lastRenderedPageBreak/>
        <w: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t>
      </w:r>
    </w:p>
    <w:p w14:paraId="13F9FC2C" w14:textId="1D632F1D" w:rsidR="00F137FD" w:rsidRDefault="00F137FD" w:rsidP="00F137FD">
      <w:r>
        <w:t>Perioada de implementare a activităților proiectului se referă atât la activitățile realizate înainte de depunerea cererii de finanțare, cât și la activitățile ce urmează a fi realizate după momentul contractării proiectului.</w:t>
      </w:r>
    </w:p>
    <w:p w14:paraId="2387AC5B" w14:textId="77777777" w:rsidR="00F137FD" w:rsidRDefault="00F137FD" w:rsidP="00F137FD">
      <w:r>
        <w:t>Activitățile sunt realizabile în perioada propusă în proiect iar planul de implementare este realist.</w:t>
      </w:r>
    </w:p>
    <w:p w14:paraId="343EB5B8" w14:textId="3B00AA07" w:rsidR="00A657B7" w:rsidRDefault="00245051" w:rsidP="00F137FD">
      <w:r>
        <w:t>Aspectele se corelează cu informațiile completate în Cererea de finanțare.</w:t>
      </w:r>
    </w:p>
    <w:p w14:paraId="64CE1D92" w14:textId="45A4D5AD" w:rsidR="00A657B7" w:rsidRDefault="00245051">
      <w:pPr>
        <w:pStyle w:val="ListParagraph"/>
        <w:numPr>
          <w:ilvl w:val="0"/>
          <w:numId w:val="7"/>
        </w:numPr>
        <w:rPr>
          <w:b/>
          <w:sz w:val="24"/>
          <w:szCs w:val="24"/>
        </w:rPr>
      </w:pPr>
      <w:r>
        <w:rPr>
          <w:b/>
          <w:sz w:val="24"/>
          <w:szCs w:val="24"/>
        </w:rPr>
        <w:t xml:space="preserve">Valoarea finanțării solicitate este între </w:t>
      </w:r>
      <w:r w:rsidR="005F0F69">
        <w:rPr>
          <w:b/>
          <w:sz w:val="24"/>
          <w:szCs w:val="24"/>
        </w:rPr>
        <w:t>3</w:t>
      </w:r>
      <w:r>
        <w:rPr>
          <w:b/>
          <w:sz w:val="24"/>
          <w:szCs w:val="24"/>
        </w:rPr>
        <w:t xml:space="preserve">00.000 euro și </w:t>
      </w:r>
      <w:r w:rsidR="005F0F69">
        <w:rPr>
          <w:b/>
          <w:sz w:val="24"/>
          <w:szCs w:val="24"/>
        </w:rPr>
        <w:t>10</w:t>
      </w:r>
      <w:r>
        <w:rPr>
          <w:b/>
          <w:sz w:val="24"/>
          <w:szCs w:val="24"/>
        </w:rPr>
        <w:t>.000.000 euro (echivalent în lei</w:t>
      </w:r>
      <w:r w:rsidR="00790FAE">
        <w:rPr>
          <w:b/>
          <w:sz w:val="24"/>
          <w:szCs w:val="24"/>
        </w:rPr>
        <w:t>)</w:t>
      </w:r>
    </w:p>
    <w:p w14:paraId="5251600D" w14:textId="69D4F9A1" w:rsidR="00A657B7" w:rsidRPr="008F4833" w:rsidRDefault="00245051">
      <w:pPr>
        <w:pStyle w:val="ListParagraph"/>
      </w:pPr>
      <w:r w:rsidRPr="008F4833">
        <w:t xml:space="preserve">A se vedea Declarația unică, Bugetul proiectului, Hotărârea de aprobare a proiectului, analiza energetică, secțiunea buget din cererea de finanțare MySMIS </w:t>
      </w:r>
      <w:r w:rsidR="005F0F69" w:rsidRPr="008F4833">
        <w:t>.</w:t>
      </w:r>
    </w:p>
    <w:p w14:paraId="16DEAFC9" w14:textId="77777777" w:rsidR="00A657B7" w:rsidRDefault="00A657B7">
      <w:pPr>
        <w:pStyle w:val="ListParagraph"/>
        <w:rPr>
          <w:sz w:val="24"/>
          <w:szCs w:val="24"/>
        </w:rPr>
      </w:pPr>
    </w:p>
    <w:p w14:paraId="780A7C6C" w14:textId="77777777" w:rsidR="00A657B7" w:rsidRPr="00904F81" w:rsidRDefault="00245051">
      <w:pPr>
        <w:pStyle w:val="ListParagraph"/>
        <w:numPr>
          <w:ilvl w:val="0"/>
          <w:numId w:val="7"/>
        </w:numPr>
      </w:pPr>
      <w:r w:rsidRPr="00904F81">
        <w:t>Activitatea de bază - declarată de beneficiar în cererea de finanțare - aferentă proiectului respectă următoarele condiții cumulativ:</w:t>
      </w:r>
    </w:p>
    <w:p w14:paraId="4554233C" w14:textId="77777777" w:rsidR="00A657B7" w:rsidRDefault="00245051">
      <w:pPr>
        <w:pStyle w:val="ListParagraph"/>
        <w:numPr>
          <w:ilvl w:val="2"/>
          <w:numId w:val="7"/>
        </w:numPr>
        <w:ind w:left="993"/>
      </w:pPr>
      <w:r>
        <w:t xml:space="preserve">are legătură directă cu obiectul proiectului pentru care se acordă finanțarea și contribuie în mod direct şi semnificativ la realizarea obiectivelor și la obținerea rezultatelor acestuia; </w:t>
      </w:r>
    </w:p>
    <w:p w14:paraId="47D89322" w14:textId="77777777" w:rsidR="00A657B7" w:rsidRDefault="00245051">
      <w:pPr>
        <w:pStyle w:val="ListParagraph"/>
      </w:pPr>
      <w:r>
        <w:t>ii.  se regăsește în cererea de finanțare sub forma activităților eligibile specificate în ghidul solicitantului;</w:t>
      </w:r>
    </w:p>
    <w:p w14:paraId="5A914D20" w14:textId="77777777" w:rsidR="00A657B7" w:rsidRDefault="00245051">
      <w:pPr>
        <w:pStyle w:val="ListParagraph"/>
      </w:pPr>
      <w:r>
        <w:t>iii.  nu face parte din activitățile conexe, așa cum sunt acestea definite în Ghidul solicitantului</w:t>
      </w:r>
    </w:p>
    <w:p w14:paraId="1348B34C" w14:textId="77777777" w:rsidR="00A657B7" w:rsidRDefault="00245051">
      <w:pPr>
        <w:pStyle w:val="ListParagraph"/>
      </w:pPr>
      <w:r>
        <w:t xml:space="preserve">iv. bugetul estimat alocat activității sau pachetului de activități reprezintă </w:t>
      </w:r>
      <w:r w:rsidRPr="004F1B1C">
        <w:t xml:space="preserve">minimum 85% </w:t>
      </w:r>
      <w:r>
        <w:t>din bugetul eligibil al proiectului;</w:t>
      </w:r>
    </w:p>
    <w:p w14:paraId="671328F3" w14:textId="77777777" w:rsidR="00A657B7" w:rsidRDefault="00A657B7">
      <w:pPr>
        <w:pStyle w:val="ListParagraph"/>
        <w:rPr>
          <w:sz w:val="24"/>
          <w:szCs w:val="24"/>
        </w:rPr>
      </w:pPr>
    </w:p>
    <w:p w14:paraId="6516D0E9" w14:textId="77777777" w:rsidR="00A657B7" w:rsidRPr="00904F81" w:rsidRDefault="00245051">
      <w:pPr>
        <w:pStyle w:val="ListParagraph"/>
        <w:numPr>
          <w:ilvl w:val="0"/>
          <w:numId w:val="7"/>
        </w:numPr>
        <w:rPr>
          <w:bCs/>
        </w:rPr>
      </w:pPr>
      <w:r w:rsidRPr="00904F81">
        <w:rPr>
          <w:bCs/>
        </w:rPr>
        <w:t>Pentru instalațiile care utilizează biogazul, nu sunt utilizați combustibilii fosili.</w:t>
      </w:r>
    </w:p>
    <w:p w14:paraId="3759644B" w14:textId="77777777" w:rsidR="00A657B7" w:rsidRPr="00904F81" w:rsidRDefault="00A657B7">
      <w:pPr>
        <w:pStyle w:val="ListParagraph"/>
        <w:rPr>
          <w:bCs/>
        </w:rPr>
      </w:pPr>
    </w:p>
    <w:p w14:paraId="7B696F6D" w14:textId="77777777" w:rsidR="00A657B7" w:rsidRPr="00904F81" w:rsidRDefault="00245051">
      <w:pPr>
        <w:pStyle w:val="ListParagraph"/>
        <w:numPr>
          <w:ilvl w:val="0"/>
          <w:numId w:val="7"/>
        </w:numPr>
        <w:rPr>
          <w:bCs/>
        </w:rPr>
      </w:pPr>
      <w:r w:rsidRPr="00904F81">
        <w:rPr>
          <w:bCs/>
        </w:rPr>
        <w:t>În cazul cogenerării, aceasta este de înaltă eficiență, conform definiției din Directiva 2012/27/UE, iar tehnologiile de cogenerare sunt cele prevăzute de anexa I partea II din Directiva 2012/27/UE.</w:t>
      </w:r>
    </w:p>
    <w:p w14:paraId="16E4B52A" w14:textId="77777777" w:rsidR="00A657B7" w:rsidRPr="00904F81" w:rsidRDefault="00A657B7">
      <w:pPr>
        <w:pStyle w:val="ListParagraph"/>
        <w:rPr>
          <w:bCs/>
          <w:color w:val="FF4000"/>
          <w:sz w:val="24"/>
          <w:szCs w:val="24"/>
        </w:rPr>
      </w:pPr>
    </w:p>
    <w:p w14:paraId="5F06DCCE" w14:textId="77777777" w:rsidR="00A657B7" w:rsidRPr="00904F81" w:rsidRDefault="00245051">
      <w:pPr>
        <w:pStyle w:val="ListParagraph"/>
        <w:numPr>
          <w:ilvl w:val="0"/>
          <w:numId w:val="7"/>
        </w:numPr>
        <w:rPr>
          <w:bCs/>
        </w:rPr>
      </w:pPr>
      <w:r w:rsidRPr="00904F81">
        <w:rPr>
          <w:bCs/>
        </w:rPr>
        <w:t xml:space="preserve">În cazul proiectelor care utilizează biogazul, tehnologia adoptată respectă încadrarea în concentrațiile de emisii din gazele emanate în atmosferă, în conformitate cu legislația specifică în vigoare (v. </w:t>
      </w:r>
      <w:r w:rsidR="00A657B7">
        <w:fldChar w:fldCharType="begin"/>
      </w:r>
      <w:r w:rsidR="00A657B7">
        <w:instrText>HYPERLINK "http://www.anpm.ro/domenii"</w:instrText>
      </w:r>
      <w:r w:rsidR="00A657B7">
        <w:fldChar w:fldCharType="separate"/>
      </w:r>
      <w:r w:rsidR="00A657B7" w:rsidRPr="00904F81">
        <w:rPr>
          <w:rStyle w:val="Hyperlink"/>
          <w:bCs/>
          <w:color w:val="auto"/>
        </w:rPr>
        <w:t>http://www.anpm.ro/domenii</w:t>
      </w:r>
      <w:r w:rsidR="00A657B7">
        <w:fldChar w:fldCharType="end"/>
      </w:r>
      <w:r w:rsidRPr="00904F81">
        <w:rPr>
          <w:bCs/>
        </w:rPr>
        <w:t>)</w:t>
      </w:r>
    </w:p>
    <w:p w14:paraId="2551AECB" w14:textId="77777777" w:rsidR="00A657B7" w:rsidRPr="00904F81" w:rsidRDefault="00A657B7">
      <w:pPr>
        <w:pStyle w:val="ListParagraph"/>
        <w:rPr>
          <w:bCs/>
          <w:color w:val="FF4000"/>
        </w:rPr>
      </w:pPr>
    </w:p>
    <w:p w14:paraId="49AB610F" w14:textId="77777777" w:rsidR="00A657B7" w:rsidRPr="00904F81" w:rsidRDefault="00245051">
      <w:pPr>
        <w:pStyle w:val="ListParagraph"/>
        <w:numPr>
          <w:ilvl w:val="0"/>
          <w:numId w:val="7"/>
        </w:numPr>
        <w:rPr>
          <w:bCs/>
        </w:rPr>
      </w:pPr>
      <w:r w:rsidRPr="00904F81">
        <w:rPr>
          <w:bCs/>
        </w:rPr>
        <w:t>În cazul proiectelor de valorificare a energiei geotermale care includ și pompele de caldură, acestea au un coeficient de performanță în conformitate cu prevederile Directivei 2009/28/EC pentru promovarea utilizării energiei din surse regenerabile de energie (anexa VII).</w:t>
      </w:r>
    </w:p>
    <w:p w14:paraId="4EB768F2" w14:textId="77777777" w:rsidR="00A657B7" w:rsidRPr="00904F81" w:rsidRDefault="00245051">
      <w:pPr>
        <w:numPr>
          <w:ilvl w:val="0"/>
          <w:numId w:val="7"/>
        </w:numPr>
        <w:rPr>
          <w:bCs/>
        </w:rPr>
      </w:pPr>
      <w:bookmarkStart w:id="122" w:name="_Hlk143076217_Copy_1"/>
      <w:bookmarkStart w:id="123" w:name="_Hlk143076231"/>
      <w:bookmarkEnd w:id="122"/>
      <w:bookmarkEnd w:id="123"/>
      <w:r w:rsidRPr="00904F81">
        <w:rPr>
          <w:bCs/>
        </w:rPr>
        <w:t xml:space="preserve">Acolo unde este cazul, proiectul prevede asigurarea imunizării la schimbările climatice a investițiilor în infrastructură care au o durată de viață preconizată de cel puțin cinci ani; </w:t>
      </w:r>
    </w:p>
    <w:p w14:paraId="6D41E65A" w14:textId="77777777" w:rsidR="00A657B7" w:rsidRPr="00904F81" w:rsidRDefault="00245051">
      <w:pPr>
        <w:numPr>
          <w:ilvl w:val="0"/>
          <w:numId w:val="7"/>
        </w:numPr>
        <w:rPr>
          <w:bCs/>
        </w:rPr>
      </w:pPr>
      <w:bookmarkStart w:id="124" w:name="_Hlk143076231_Copy_1"/>
      <w:bookmarkStart w:id="125" w:name="_Hlk143076245"/>
      <w:bookmarkEnd w:id="124"/>
      <w:bookmarkEnd w:id="125"/>
      <w:r w:rsidRPr="00904F81">
        <w:rPr>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42EEDC1" w14:textId="77777777" w:rsidR="00A657B7" w:rsidRPr="00904F81" w:rsidRDefault="00245051">
      <w:pPr>
        <w:numPr>
          <w:ilvl w:val="0"/>
          <w:numId w:val="7"/>
        </w:numPr>
        <w:rPr>
          <w:bCs/>
        </w:rPr>
      </w:pPr>
      <w:bookmarkStart w:id="126" w:name="_Hlk143076245_Copy_1"/>
      <w:bookmarkStart w:id="127" w:name="_Hlk143076269"/>
      <w:bookmarkEnd w:id="126"/>
      <w:bookmarkEnd w:id="127"/>
      <w:r w:rsidRPr="00904F81">
        <w:rPr>
          <w:bCs/>
        </w:rPr>
        <w:t>Proiectul respectă reglementările naţionale şi comunitare privind eligibilitatea cheltuielilor, promovarea egalităţii de şanse şi politica nediscriminatorie; dezvoltarea durabilă, tehnologia informaţiei; achiziţiile publice, dacă este cazul; informare şi publicitate; ajutorul de stat precum şi orice alte prevederi legale aplicabile fondurilor europene structurale și de investiții, dupa caz.</w:t>
      </w:r>
    </w:p>
    <w:p w14:paraId="6763BDAF" w14:textId="77777777" w:rsidR="00A657B7" w:rsidRPr="00904F81" w:rsidRDefault="00245051">
      <w:pPr>
        <w:numPr>
          <w:ilvl w:val="0"/>
          <w:numId w:val="7"/>
        </w:numPr>
        <w:rPr>
          <w:bCs/>
        </w:rPr>
      </w:pPr>
      <w:bookmarkStart w:id="128" w:name="_Hlk143076269_Copy_1"/>
      <w:bookmarkStart w:id="129" w:name="_Hlk143076390"/>
      <w:bookmarkEnd w:id="128"/>
      <w:r w:rsidRPr="00904F81">
        <w:rPr>
          <w:bCs/>
        </w:rPr>
        <w:t>Pentru apelul de proiecte dedicat ITI Valea Jiului, proiectul propus trebuie sa fie in concordanță cu strategia asociată teritoriului integrat respectiv aprobată prin HG 901/2022</w:t>
      </w:r>
      <w:bookmarkEnd w:id="129"/>
    </w:p>
    <w:p w14:paraId="18C51700" w14:textId="5E1F36E1" w:rsidR="00A657B7" w:rsidRPr="00CC5C88" w:rsidRDefault="00245051" w:rsidP="00CC5C88">
      <w:r w:rsidRPr="005F0F69">
        <w:t>Solicitanții vor depune împreună cu Cererea de finanțare un aviz din partea AD ITI Valea Jiului, prin intermediul căruia se certifică contribuția proiectului la îndeplinirea obiectivele Strategiei de dezvoltare economică, socială și de mediu a Văii Jiului, pentru perioada 2022-2030</w:t>
      </w:r>
    </w:p>
    <w:p w14:paraId="711ED7EF" w14:textId="3BF5789B" w:rsidR="00A657B7" w:rsidRPr="008F4833" w:rsidRDefault="00245051" w:rsidP="008F4833">
      <w:pPr>
        <w:ind w:hanging="360"/>
        <w:rPr>
          <w:bCs/>
        </w:rPr>
      </w:pPr>
      <w:r w:rsidRPr="00CC5C88">
        <w:rPr>
          <w:bCs/>
          <w:sz w:val="24"/>
          <w:szCs w:val="24"/>
        </w:rPr>
        <w:lastRenderedPageBreak/>
        <w:t xml:space="preserve">16) </w:t>
      </w:r>
      <w:r w:rsidRPr="00CC5C88">
        <w:rPr>
          <w:bCs/>
        </w:rPr>
        <w:t>În cazul în care în clădire</w:t>
      </w:r>
      <w:r w:rsidR="005F0F69" w:rsidRPr="00CC5C88">
        <w:rPr>
          <w:bCs/>
        </w:rPr>
        <w:t>a publică</w:t>
      </w:r>
      <w:r w:rsidRPr="00CC5C88">
        <w:rPr>
          <w:bCs/>
        </w:rPr>
        <w:t xml:space="preserve"> există spații/unități de clădire închiriate/date în folosință gratuită/concesionate unor persoane juridice, sunt îndeplinite următoarele condiții:</w:t>
      </w:r>
    </w:p>
    <w:p w14:paraId="39CD19C6" w14:textId="4AB0E74A" w:rsidR="00A657B7" w:rsidRDefault="00245051" w:rsidP="00790FAE">
      <w:r>
        <w:t>o</w:t>
      </w:r>
      <w:r>
        <w:tab/>
        <w:t xml:space="preserve">Ocupanții (persoanele juridice) trebuie să fi fost selectați printr-o procedură transparentă și nediscriminatorie, conform legislației în vigoare </w:t>
      </w:r>
    </w:p>
    <w:p w14:paraId="0C6290CF" w14:textId="77777777" w:rsidR="00A657B7" w:rsidRDefault="00245051">
      <w:r>
        <w:t>o</w:t>
      </w:r>
      <w:r>
        <w:tab/>
      </w:r>
      <w:r w:rsidRPr="006268B1">
        <w:t>Este atașată Declarația ocupantului</w:t>
      </w:r>
      <w:r>
        <w:t xml:space="preserve"> (persoana juridică care a închiriat/a primit în folosință gratuită/a obținut în concesiune spații/unități de clădire) prin care îşi exprimă acordul ca Solicitantul să realizeze investiția.</w:t>
      </w:r>
    </w:p>
    <w:p w14:paraId="3C59FA70" w14:textId="77777777" w:rsidR="00A657B7" w:rsidRDefault="00245051">
      <w:r>
        <w:t>o</w:t>
      </w:r>
      <w: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w:t>
      </w:r>
      <w:r>
        <w:t>a totală utilă a clădirii.</w:t>
      </w:r>
    </w:p>
    <w:p w14:paraId="62E97F17" w14:textId="77777777" w:rsidR="00A657B7" w:rsidRDefault="00245051">
      <w:r w:rsidRPr="00CC5C88">
        <w:rPr>
          <w:b/>
          <w:bCs/>
        </w:rPr>
        <w:t>Excepție!</w:t>
      </w:r>
      <w:r>
        <w:t xml:space="preserve"> In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w:t>
      </w:r>
    </w:p>
    <w:p w14:paraId="32BD7E7B" w14:textId="77777777" w:rsidR="00A657B7" w:rsidRDefault="00245051">
      <w:r>
        <w:t>o</w:t>
      </w:r>
      <w:r>
        <w:tab/>
        <w:t>Ocupanții (persoanele juridice) trebuie să fi fost selectați printr-o procedură transparentă și nediscriminatorie, conform legislației în vigoare</w:t>
      </w:r>
    </w:p>
    <w:p w14:paraId="6BDDEF48" w14:textId="33865500" w:rsidR="00A657B7" w:rsidRPr="00904F81" w:rsidRDefault="00245051" w:rsidP="00904F81">
      <w:r>
        <w:t>o</w:t>
      </w:r>
      <w:r>
        <w:tab/>
        <w:t>Activitatea desfășurată de persoanele juridice respective nu afectează activitatea principală/ funcțiunea clădirii publice</w:t>
      </w:r>
    </w:p>
    <w:p w14:paraId="3C318382" w14:textId="77777777" w:rsidR="00A657B7" w:rsidRDefault="00A657B7">
      <w:pPr>
        <w:pStyle w:val="ListParagraph"/>
        <w:rPr>
          <w:b/>
        </w:rPr>
      </w:pPr>
    </w:p>
    <w:p w14:paraId="528EF0DC" w14:textId="7CBA3C66" w:rsidR="00A657B7" w:rsidRPr="00CC5C88" w:rsidRDefault="008F4833">
      <w:pPr>
        <w:pStyle w:val="ListParagraph"/>
        <w:numPr>
          <w:ilvl w:val="0"/>
          <w:numId w:val="24"/>
        </w:numPr>
        <w:rPr>
          <w:bCs/>
        </w:rPr>
      </w:pPr>
      <w:r>
        <w:rPr>
          <w:bCs/>
        </w:rPr>
        <w:t>În situația clădirilor cu mai mult de 2 niveluri, c</w:t>
      </w:r>
      <w:r w:rsidRPr="00CC5C88">
        <w:rPr>
          <w:bCs/>
        </w:rPr>
        <w:t>lădirea</w:t>
      </w:r>
      <w:r>
        <w:rPr>
          <w:bCs/>
        </w:rPr>
        <w:t xml:space="preserve"> este </w:t>
      </w:r>
      <w:r w:rsidRPr="00CC5C88">
        <w:rPr>
          <w:bCs/>
        </w:rPr>
        <w:t>expertizată tehnic, conform Codului de proiectare seismică — Partea a III-a —Prevederi pentru evaluarea seismică a clădirilor existente, indicativ P 100-3/2019, nu este încadrată, prin raport de expertiză tehnică, în clasa I sau II de risc seismic, respectiv clădire cu susceptibilitate de prăbușire, totală sau parțială, la acțiunea cutremurului și la care nu se află în execuție lucrări de intervenție în scopul creșterii nivelului de siguranță la acțiuni seismice ale construcției existente</w:t>
      </w:r>
    </w:p>
    <w:p w14:paraId="50BB1192" w14:textId="77777777" w:rsidR="00A657B7" w:rsidRDefault="00245051">
      <w:r>
        <w:t>Pentru a fi eligibilă, o clădire trebuie să îndeplinească cumulativ următoarele condiții: să nu fie încadrată în clasa I sau II  de risc seismic și – dacă e cazul – să aibă finalizate lucrările de consolidare antiseismică la data depunerii proiectului.</w:t>
      </w:r>
    </w:p>
    <w:p w14:paraId="5992A14F" w14:textId="77777777" w:rsidR="008F4833" w:rsidRDefault="008F4833"/>
    <w:p w14:paraId="339DEC3A" w14:textId="5CEF461C" w:rsidR="00A657B7" w:rsidRDefault="00245051">
      <w:pPr>
        <w:rPr>
          <w:b/>
        </w:rPr>
      </w:pPr>
      <w:r>
        <w:rPr>
          <w:b/>
        </w:rPr>
        <w:t>Criteriul se aplică în cazul în care sistemele de producere a energiei din surse regenerabile sunt amplasate pe clădirea care face obiectul proiectului</w:t>
      </w:r>
      <w:r w:rsidR="00E67BDF">
        <w:rPr>
          <w:b/>
        </w:rPr>
        <w:t>.</w:t>
      </w:r>
    </w:p>
    <w:p w14:paraId="4C7C2CE9" w14:textId="77777777" w:rsidR="00A657B7" w:rsidRDefault="00A657B7">
      <w:pPr>
        <w:rPr>
          <w:color w:val="FF4000"/>
        </w:rPr>
      </w:pPr>
    </w:p>
    <w:p w14:paraId="1B1C3892" w14:textId="32EFDF9A" w:rsidR="004D0D84" w:rsidRDefault="00245051">
      <w:pPr>
        <w:pStyle w:val="ListParagraph"/>
        <w:numPr>
          <w:ilvl w:val="0"/>
          <w:numId w:val="24"/>
        </w:numPr>
        <w:rPr>
          <w:bCs/>
        </w:rPr>
      </w:pPr>
      <w:bookmarkStart w:id="130" w:name="_Hlk213324227"/>
      <w:r w:rsidRPr="00CC5C88">
        <w:rPr>
          <w:bCs/>
        </w:rPr>
        <w:t xml:space="preserve">Clădirea </w:t>
      </w:r>
      <w:r w:rsidR="004D0D84">
        <w:rPr>
          <w:bCs/>
        </w:rPr>
        <w:t xml:space="preserve">publică </w:t>
      </w:r>
      <w:r w:rsidRPr="00CC5C88">
        <w:rPr>
          <w:bCs/>
        </w:rPr>
        <w:t>care face obiectul proiectului nu este o construcție cu caracter provizoriu</w:t>
      </w:r>
      <w:r w:rsidR="004D0D84">
        <w:rPr>
          <w:bCs/>
        </w:rPr>
        <w:t>.</w:t>
      </w:r>
    </w:p>
    <w:p w14:paraId="52D3B731" w14:textId="4114BB13" w:rsidR="00A657B7" w:rsidRPr="00CC5C88" w:rsidRDefault="004D0D84" w:rsidP="004D0D84">
      <w:pPr>
        <w:pStyle w:val="ListParagraph"/>
        <w:ind w:left="1080"/>
        <w:rPr>
          <w:bCs/>
        </w:rPr>
      </w:pPr>
      <w:r>
        <w:rPr>
          <w:bCs/>
        </w:rPr>
        <w:t>În ceea ce privește gospodăriile, clădirea pe care se montează instalația nu este</w:t>
      </w:r>
      <w:r w:rsidRPr="00CC5C88">
        <w:rPr>
          <w:bCs/>
        </w:rPr>
        <w:t xml:space="preserve"> prevăzută a fi utilizată pe o perioadă de până la 2 ani, nu este clădire industrială, nu este atelier sau clădire din domeniul agricol, nu este utilizată*/ destinată a fi utilizată mai puțin de 4 luni pe an.</w:t>
      </w:r>
    </w:p>
    <w:bookmarkEnd w:id="130"/>
    <w:p w14:paraId="3FEE04E1" w14:textId="1A0C478F" w:rsidR="00A657B7" w:rsidRDefault="00245051" w:rsidP="00CC5C88">
      <w:r>
        <w:t>Aspectele sunt asumate prin Declarația unică</w:t>
      </w:r>
      <w:r w:rsidR="00E67BDF">
        <w:t>.</w:t>
      </w:r>
    </w:p>
    <w:p w14:paraId="01448135" w14:textId="0E24CD13" w:rsidR="00A657B7" w:rsidRDefault="00245051">
      <w:pPr>
        <w:pStyle w:val="ListParagraph"/>
        <w:numPr>
          <w:ilvl w:val="0"/>
          <w:numId w:val="24"/>
        </w:numPr>
        <w:rPr>
          <w:bCs/>
        </w:rPr>
      </w:pPr>
      <w:r w:rsidRPr="00CC5C88">
        <w:rPr>
          <w:bCs/>
        </w:rPr>
        <w:t xml:space="preserve">Clădirea </w:t>
      </w:r>
      <w:r w:rsidR="005F0F69" w:rsidRPr="00CC5C88">
        <w:rPr>
          <w:bCs/>
        </w:rPr>
        <w:t>aferente investiției a fost evaluată</w:t>
      </w:r>
      <w:r w:rsidR="00E67BDF" w:rsidRPr="00CC5C88">
        <w:rPr>
          <w:bCs/>
        </w:rPr>
        <w:t xml:space="preserve"> de către solicitant</w:t>
      </w:r>
      <w:r w:rsidR="005F0F69" w:rsidRPr="00CC5C88">
        <w:rPr>
          <w:bCs/>
        </w:rPr>
        <w:t xml:space="preserve"> (stare tehnică a clădirii, a instalațiilor electrice, astfel încât proiectul să se poată implementa).</w:t>
      </w:r>
    </w:p>
    <w:p w14:paraId="3E0BD251" w14:textId="02136E26" w:rsidR="00F807E4" w:rsidRPr="00F807E4" w:rsidRDefault="00F807E4" w:rsidP="00F807E4">
      <w:pPr>
        <w:rPr>
          <w:rFonts w:ascii="Calibri Light" w:eastAsia="Calibri Light" w:hAnsi="Calibri Light" w:cs="Calibri Light"/>
          <w:b/>
          <w:color w:val="3494BA" w:themeColor="accent1"/>
          <w:sz w:val="24"/>
          <w:szCs w:val="24"/>
          <w:u w:val="single"/>
        </w:rPr>
      </w:pPr>
      <w:r w:rsidRPr="00F807E4">
        <w:rPr>
          <w:rFonts w:ascii="Calibri Light" w:eastAsia="Calibri Light" w:hAnsi="Calibri Light" w:cs="Calibri Light"/>
          <w:b/>
          <w:color w:val="3494BA" w:themeColor="accent1"/>
          <w:sz w:val="24"/>
          <w:szCs w:val="24"/>
          <w:u w:val="single"/>
        </w:rPr>
        <w:t>Criterii specifice</w:t>
      </w:r>
    </w:p>
    <w:p w14:paraId="623A75C5" w14:textId="784EC956" w:rsidR="008504A1" w:rsidRPr="008504A1" w:rsidRDefault="008504A1" w:rsidP="008504A1">
      <w:pPr>
        <w:pStyle w:val="ListParagraph"/>
        <w:ind w:left="1080"/>
        <w:rPr>
          <w:i/>
          <w:iCs/>
        </w:rPr>
      </w:pPr>
      <w:r w:rsidRPr="008504A1">
        <w:rPr>
          <w:i/>
          <w:iCs/>
        </w:rPr>
        <w:t>Avize/acorduri/autorizații specifice obținute în baza prevderilor legale aplicabile :</w:t>
      </w:r>
    </w:p>
    <w:p w14:paraId="77C4F396" w14:textId="77777777" w:rsidR="008504A1" w:rsidRPr="008504A1" w:rsidRDefault="008504A1" w:rsidP="008504A1">
      <w:pPr>
        <w:pStyle w:val="ListParagraph"/>
        <w:ind w:left="1080"/>
        <w:rPr>
          <w:i/>
          <w:iCs/>
        </w:rPr>
      </w:pPr>
      <w:r w:rsidRPr="008504A1">
        <w:rPr>
          <w:i/>
          <w:iCs/>
        </w:rPr>
        <w:lastRenderedPageBreak/>
        <w:t>-</w:t>
      </w:r>
      <w:r w:rsidRPr="008504A1">
        <w:rPr>
          <w:i/>
          <w:iCs/>
        </w:rPr>
        <w:tab/>
        <w:t>În cazul proiectelor care includ și pompele de caldură, acestea au un coeficient de performanță în conformitate cu prevederile Directivei (UE) 2018/2001 pentru promovarea utilizării energiei din surse regenerabile de energie (Anexa 7), versiunea consolidată.</w:t>
      </w:r>
    </w:p>
    <w:p w14:paraId="59C1A658" w14:textId="77777777" w:rsidR="008504A1" w:rsidRPr="008504A1" w:rsidRDefault="008504A1" w:rsidP="008504A1">
      <w:pPr>
        <w:pStyle w:val="ListParagraph"/>
        <w:ind w:left="1080"/>
        <w:rPr>
          <w:i/>
          <w:iCs/>
        </w:rPr>
      </w:pPr>
      <w:r w:rsidRPr="008504A1">
        <w:rPr>
          <w:i/>
          <w:iCs/>
        </w:rPr>
        <w:t>-</w:t>
      </w:r>
      <w:r w:rsidRPr="008504A1">
        <w:rPr>
          <w:i/>
          <w:iCs/>
        </w:rPr>
        <w:tab/>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75176AB0" w14:textId="77777777" w:rsidR="008504A1" w:rsidRPr="008504A1" w:rsidRDefault="008504A1" w:rsidP="008504A1">
      <w:pPr>
        <w:pStyle w:val="ListParagraph"/>
        <w:ind w:left="1080"/>
        <w:rPr>
          <w:i/>
          <w:iCs/>
        </w:rPr>
      </w:pPr>
      <w:r w:rsidRPr="008504A1">
        <w:rPr>
          <w:i/>
          <w:iCs/>
        </w:rPr>
        <w:t>-</w:t>
      </w:r>
      <w:r w:rsidRPr="008504A1">
        <w:rPr>
          <w:i/>
          <w:iCs/>
        </w:rPr>
        <w:tab/>
        <w:t>În cazul proiectelor care utilizează biogazul, tehnologia adoptată respectă încadrarea în concentrațiile de emisii din gazele emanate în atmosferă, în conformitate cu legislația specifică în vigoare (v. http://www.anpm.ro/domenii)</w:t>
      </w:r>
    </w:p>
    <w:p w14:paraId="3956D0E3" w14:textId="018EE5D3" w:rsidR="005F0F69" w:rsidRPr="008504A1" w:rsidRDefault="008504A1" w:rsidP="008504A1">
      <w:pPr>
        <w:pStyle w:val="ListParagraph"/>
        <w:ind w:left="1080"/>
        <w:rPr>
          <w:i/>
          <w:iCs/>
        </w:rPr>
      </w:pPr>
      <w:r w:rsidRPr="008504A1">
        <w:rPr>
          <w:i/>
          <w:iCs/>
        </w:rPr>
        <w:t>-</w:t>
      </w:r>
      <w:r w:rsidRPr="008504A1">
        <w:rPr>
          <w:i/>
          <w:iCs/>
        </w:rPr>
        <w:tab/>
        <w:t>În cazul cogenerării, aceasta este de înaltă eficiență, conform definiției din Directiva 2012/27/UE (consolidată), iar tehnologiile de cogenerare sunt cele prevazute de Directiva 2012/27/UE (consolidată).din surse regenerabile</w:t>
      </w:r>
    </w:p>
    <w:p w14:paraId="32F3022A" w14:textId="0CE699CB" w:rsidR="008504A1" w:rsidRPr="008504A1" w:rsidRDefault="008504A1" w:rsidP="008504A1">
      <w:pPr>
        <w:pStyle w:val="ListParagraph"/>
        <w:ind w:left="1080"/>
        <w:rPr>
          <w:i/>
          <w:iCs/>
        </w:rPr>
      </w:pPr>
      <w:r w:rsidRPr="008504A1">
        <w:rPr>
          <w:i/>
          <w:iCs/>
        </w:rPr>
        <w:t>-     În cazul proiectelor care includ energie geotermală, beneficiarul dpune licența de explorare. Dacă aceasta nu există, se va prezenta cel târziu la prima cerere de rambursare.</w:t>
      </w:r>
    </w:p>
    <w:p w14:paraId="2412BE36" w14:textId="77777777" w:rsidR="008504A1" w:rsidRPr="008504A1" w:rsidRDefault="008504A1" w:rsidP="008504A1">
      <w:pPr>
        <w:pStyle w:val="ListParagraph"/>
        <w:ind w:left="1080"/>
        <w:rPr>
          <w:i/>
          <w:iCs/>
        </w:rPr>
      </w:pPr>
    </w:p>
    <w:p w14:paraId="47ABA126" w14:textId="07A60A9A" w:rsidR="00A657B7" w:rsidRDefault="00245051" w:rsidP="008D524F">
      <w:pPr>
        <w:pStyle w:val="Heading3"/>
        <w:numPr>
          <w:ilvl w:val="2"/>
          <w:numId w:val="3"/>
        </w:numPr>
        <w:ind w:left="0" w:firstLine="0"/>
      </w:pPr>
      <w:bookmarkStart w:id="131" w:name="_Toc213405571"/>
      <w:r>
        <w:t>Activități eligibile</w:t>
      </w:r>
      <w:bookmarkEnd w:id="131"/>
    </w:p>
    <w:p w14:paraId="6D27FC17" w14:textId="77777777" w:rsidR="005F0F69" w:rsidRDefault="005F0F69">
      <w:pPr>
        <w:ind w:left="0"/>
        <w:rPr>
          <w:b/>
          <w:bCs/>
        </w:rPr>
      </w:pPr>
    </w:p>
    <w:p w14:paraId="660539FE" w14:textId="77777777" w:rsidR="005F0F69" w:rsidRPr="005F0F69" w:rsidRDefault="005F0F69" w:rsidP="005F0F69">
      <w:pPr>
        <w:ind w:left="0"/>
      </w:pPr>
      <w:r w:rsidRPr="005F0F69">
        <w:t>Instalarea de mici capacități noi de producție de energie din surse regenerabile (solar, eolian, geotermal,  inclusiv pompe de căldură, biogaz și capacități de stocare a energiei, alte tipuri de energie din surse regenerabile, excluzând biomasa) în vederea asigurării consumului propriu de energie electrică și/sau termică la nivelul unora din clădirile autorității publice locale și în vederea acoperirii necesarului de consum estimat al gospodăriilor care ar urma să facă parte din comunitatea de energie,:</w:t>
      </w:r>
    </w:p>
    <w:p w14:paraId="718EA614" w14:textId="77777777" w:rsidR="005F0F69" w:rsidRPr="005F0F69" w:rsidRDefault="005F0F69" w:rsidP="005F0F69">
      <w:pPr>
        <w:ind w:left="0"/>
      </w:pPr>
      <w:r w:rsidRPr="005F0F69">
        <w:t>•</w:t>
      </w:r>
      <w:r w:rsidRPr="005F0F69">
        <w:tab/>
        <w:t>Realizarea capacităţilor de producere energie electrică şi termică în cogenerare din surse regenerabile;</w:t>
      </w:r>
    </w:p>
    <w:p w14:paraId="0886412F" w14:textId="694337A7" w:rsidR="005F0F69" w:rsidRPr="005F0F69" w:rsidRDefault="005F0F69" w:rsidP="005F0F69">
      <w:pPr>
        <w:ind w:left="0"/>
      </w:pPr>
      <w:r w:rsidRPr="005F0F69">
        <w:t>•</w:t>
      </w:r>
      <w:r w:rsidRPr="005F0F69">
        <w:tab/>
        <w:t>Realizarea capacităților de producţie a energiei termice prin utilizarea energiei geotermale, pompe de căldură, panouri solare</w:t>
      </w:r>
      <w:r w:rsidR="008F4833">
        <w:t>/</w:t>
      </w:r>
      <w:r w:rsidRPr="005F0F69">
        <w:t xml:space="preserve"> termice, alte surse de energie regenerabilă (inclusiv capacități de stocare a energiei termice);</w:t>
      </w:r>
    </w:p>
    <w:p w14:paraId="217F5B8D" w14:textId="77777777" w:rsidR="005F0F69" w:rsidRPr="005F0F69" w:rsidRDefault="005F0F69" w:rsidP="005F0F69">
      <w:pPr>
        <w:ind w:left="0"/>
      </w:pPr>
      <w:r w:rsidRPr="005F0F69">
        <w:t>•</w:t>
      </w:r>
      <w:r w:rsidRPr="005F0F69">
        <w:tab/>
        <w:t>Realizarea capacităţilor de producţie a energiei electrice din energie solară, eoliană;</w:t>
      </w:r>
    </w:p>
    <w:p w14:paraId="2DE801E5" w14:textId="77777777" w:rsidR="005F0F69" w:rsidRPr="005F0F69" w:rsidRDefault="005F0F69" w:rsidP="005F0F69">
      <w:pPr>
        <w:ind w:left="0"/>
      </w:pPr>
      <w:r w:rsidRPr="005F0F69">
        <w:t>•</w:t>
      </w:r>
      <w:r w:rsidRPr="005F0F69">
        <w:tab/>
        <w:t>Sisteme de stocare a energiei electrice – baterii de stocare;</w:t>
      </w:r>
    </w:p>
    <w:p w14:paraId="389D8795" w14:textId="495F8E68" w:rsidR="005F0F69" w:rsidRPr="005F0F69" w:rsidRDefault="005F0F69" w:rsidP="005F0F69">
      <w:pPr>
        <w:ind w:left="0"/>
      </w:pPr>
      <w:r w:rsidRPr="005F0F69">
        <w:t>•</w:t>
      </w:r>
      <w:r w:rsidRPr="005F0F69">
        <w:tab/>
        <w:t xml:space="preserve">Componente ale instalațiilor precum invertoare, structuri de montaj, </w:t>
      </w:r>
      <w:r w:rsidR="008F4833">
        <w:t xml:space="preserve">kit de montaj, </w:t>
      </w:r>
      <w:r w:rsidRPr="005F0F69">
        <w:t xml:space="preserve">sisteme de monitorizare (smart meters); </w:t>
      </w:r>
    </w:p>
    <w:p w14:paraId="0E672D5B" w14:textId="7460CA89" w:rsidR="005F0F69" w:rsidRPr="005F0F69" w:rsidRDefault="005F0F69" w:rsidP="005F0F69">
      <w:pPr>
        <w:ind w:left="0"/>
      </w:pPr>
      <w:r w:rsidRPr="005F0F69">
        <w:t>•</w:t>
      </w:r>
      <w:r w:rsidRPr="005F0F69">
        <w:tab/>
      </w:r>
      <w:r w:rsidR="008F4833">
        <w:t>Racordul/ rețeaua</w:t>
      </w:r>
      <w:r w:rsidRPr="005F0F69">
        <w:t xml:space="preserve"> (electric</w:t>
      </w:r>
      <w:r w:rsidR="008F4833">
        <w:t>ă</w:t>
      </w:r>
      <w:r w:rsidRPr="005F0F69">
        <w:t xml:space="preserve"> sau termic</w:t>
      </w:r>
      <w:r w:rsidR="008F4833">
        <w:t>ă</w:t>
      </w:r>
      <w:r w:rsidRPr="005F0F69">
        <w:t>) între locul de producere</w:t>
      </w:r>
      <w:r w:rsidR="008F4833">
        <w:t>,</w:t>
      </w:r>
      <w:r w:rsidRPr="005F0F69">
        <w:t xml:space="preserve"> cel de consum</w:t>
      </w:r>
      <w:r w:rsidR="008F4833">
        <w:t xml:space="preserve"> și/sau bateria de stocare, până la limita SEN,</w:t>
      </w:r>
      <w:r w:rsidRPr="005F0F69">
        <w:t xml:space="preserve"> în cadrul</w:t>
      </w:r>
      <w:r w:rsidR="008F4833">
        <w:t xml:space="preserve"> unor</w:t>
      </w:r>
      <w:r w:rsidRPr="005F0F69">
        <w:t xml:space="preserve"> proiectelor integrate;</w:t>
      </w:r>
    </w:p>
    <w:p w14:paraId="2743C7D0" w14:textId="77777777" w:rsidR="005F0F69" w:rsidRPr="005F0F69" w:rsidRDefault="005F0F69" w:rsidP="005F0F69">
      <w:pPr>
        <w:ind w:left="0"/>
      </w:pPr>
      <w:r w:rsidRPr="005F0F69">
        <w:t>•</w:t>
      </w:r>
      <w:r w:rsidRPr="005F0F69">
        <w:tab/>
        <w:t>Instalarea de sistem de management al energiei (EMS - Energy Management System) și alte sistemele IT/ automatizări în vederea optimizării producției și consumurilor la nivelul locurilor de consum acoperite de prezentul apel.</w:t>
      </w:r>
    </w:p>
    <w:p w14:paraId="1DFFCB21" w14:textId="76D862F3" w:rsidR="005F0F69" w:rsidRDefault="005F0F69" w:rsidP="005F0F69">
      <w:pPr>
        <w:ind w:left="0"/>
      </w:pPr>
      <w:r w:rsidRPr="005F0F69">
        <w:t>•</w:t>
      </w:r>
      <w:r w:rsidRPr="005F0F69">
        <w:tab/>
        <w:t>Cheltuieli cu campanii de informare</w:t>
      </w:r>
      <w:r w:rsidR="008F4833">
        <w:t xml:space="preserve"> și asitență</w:t>
      </w:r>
      <w:r>
        <w:t xml:space="preserve"> </w:t>
      </w:r>
      <w:r w:rsidRPr="005F0F69">
        <w:t>cu privire la crearea și funcționarea comunității, în contextul obiectivelor proiectului</w:t>
      </w:r>
    </w:p>
    <w:p w14:paraId="699A9487" w14:textId="77777777" w:rsidR="005F0F69" w:rsidRDefault="005F0F69" w:rsidP="005F0F69">
      <w:pPr>
        <w:ind w:left="0"/>
      </w:pPr>
    </w:p>
    <w:p w14:paraId="3824FAE3" w14:textId="77777777" w:rsidR="005F0F69" w:rsidRDefault="005F0F69">
      <w:pPr>
        <w:ind w:left="0"/>
        <w:rPr>
          <w:b/>
          <w:bCs/>
        </w:rPr>
      </w:pPr>
    </w:p>
    <w:p w14:paraId="0015CF8E" w14:textId="77777777" w:rsidR="005F0F69" w:rsidRPr="00E67BDF" w:rsidRDefault="005F0F69" w:rsidP="005F0F69">
      <w:pPr>
        <w:tabs>
          <w:tab w:val="left" w:pos="0"/>
        </w:tabs>
        <w:ind w:left="0"/>
        <w:rPr>
          <w:b/>
          <w:bCs/>
          <w:color w:val="1C6194" w:themeColor="accent6" w:themeShade="BF"/>
          <w:sz w:val="24"/>
          <w:szCs w:val="24"/>
        </w:rPr>
      </w:pPr>
      <w:r w:rsidRPr="00E67BDF">
        <w:rPr>
          <w:b/>
          <w:bCs/>
          <w:color w:val="1C6194" w:themeColor="accent6" w:themeShade="BF"/>
          <w:sz w:val="24"/>
          <w:szCs w:val="24"/>
        </w:rPr>
        <w:t>Capacitățile instalate prin proiect vor avea valori diferite funcție de tipul de acțiune, după cum urmează:</w:t>
      </w:r>
    </w:p>
    <w:p w14:paraId="1C31BDC9" w14:textId="77777777" w:rsidR="005F0F69" w:rsidRDefault="005F0F69" w:rsidP="005F0F69">
      <w:pPr>
        <w:pStyle w:val="ListParagraph"/>
        <w:tabs>
          <w:tab w:val="left" w:pos="0"/>
        </w:tabs>
        <w:rPr>
          <w:b/>
          <w:bCs/>
        </w:rPr>
      </w:pPr>
    </w:p>
    <w:p w14:paraId="08152B9D" w14:textId="77777777" w:rsidR="005F0F69" w:rsidRPr="005F0F69" w:rsidRDefault="005F0F69" w:rsidP="005F0F69">
      <w:pPr>
        <w:pBdr>
          <w:top w:val="none" w:sz="0" w:space="0" w:color="auto"/>
          <w:left w:val="none" w:sz="0" w:space="0" w:color="auto"/>
          <w:bottom w:val="none" w:sz="0" w:space="0" w:color="auto"/>
          <w:right w:val="none" w:sz="0" w:space="0" w:color="auto"/>
          <w:between w:val="none" w:sz="0" w:space="0" w:color="auto"/>
        </w:pBdr>
        <w:spacing w:before="0" w:after="160" w:line="259" w:lineRule="auto"/>
        <w:ind w:left="0"/>
        <w:rPr>
          <w:rFonts w:cs="Arial"/>
          <w:kern w:val="2"/>
          <w:lang w:val="pt-PT"/>
          <w14:ligatures w14:val="standardContextual"/>
        </w:rPr>
      </w:pPr>
      <w:r w:rsidRPr="005F0F69">
        <w:rPr>
          <w:rFonts w:cs="Arial"/>
          <w:b/>
          <w:bCs/>
          <w:kern w:val="2"/>
          <w14:ligatures w14:val="standardContextual"/>
        </w:rPr>
        <w:t>A</w:t>
      </w:r>
      <w:r w:rsidRPr="005F0F69">
        <w:rPr>
          <w:rFonts w:cs="Arial"/>
          <w:kern w:val="2"/>
          <w14:ligatures w14:val="standardContextual"/>
        </w:rPr>
        <w:t>.</w:t>
      </w:r>
      <w:r w:rsidRPr="005F0F69">
        <w:rPr>
          <w:rFonts w:cs="Arial"/>
          <w:kern w:val="2"/>
          <w:lang w:val="pt-PT"/>
          <w14:ligatures w14:val="standardContextual"/>
        </w:rPr>
        <w:t xml:space="preserve"> Între 0,2 MW (exclusiv) și 1 MW (inclusiv) energie electrică (valoarea maximă de 1MW capacitate instalată se aplică conform art. 10 din Legea nr. 123/2012, în vederea unui proces de autorizare și acordare a licenței </w:t>
      </w:r>
      <w:r w:rsidRPr="005F0F69">
        <w:rPr>
          <w:rFonts w:cs="Arial"/>
          <w:kern w:val="2"/>
          <w:lang w:val="pt-PT"/>
          <w14:ligatures w14:val="standardContextual"/>
        </w:rPr>
        <w:lastRenderedPageBreak/>
        <w:t xml:space="preserve">mai facil). Această mențiune cu privire dimensiunea capacității instalate este orientativă, nu se aplică parteneriatelor. Este în sarcina beneficiarului parcurgerea procedurilor de autorizare și licențiere de către autoritățile competente în domeniu. </w:t>
      </w:r>
    </w:p>
    <w:p w14:paraId="2F36DC22" w14:textId="77777777" w:rsidR="005F0F69" w:rsidRPr="005F0F69" w:rsidRDefault="005F0F69" w:rsidP="005F0F69">
      <w:pPr>
        <w:pBdr>
          <w:top w:val="none" w:sz="0" w:space="0" w:color="auto"/>
          <w:left w:val="none" w:sz="0" w:space="0" w:color="auto"/>
          <w:bottom w:val="none" w:sz="0" w:space="0" w:color="auto"/>
          <w:right w:val="none" w:sz="0" w:space="0" w:color="auto"/>
          <w:between w:val="none" w:sz="0" w:space="0" w:color="auto"/>
        </w:pBdr>
        <w:spacing w:before="0" w:after="160" w:line="259" w:lineRule="auto"/>
        <w:ind w:left="0"/>
        <w:rPr>
          <w:rFonts w:cs="Arial"/>
          <w:kern w:val="2"/>
          <w:lang w:val="pt-PT"/>
          <w14:ligatures w14:val="standardContextual"/>
        </w:rPr>
      </w:pPr>
      <w:r w:rsidRPr="005F0F69">
        <w:rPr>
          <w:rFonts w:cs="Arial"/>
          <w:kern w:val="2"/>
          <w:lang w:val="pt-PT"/>
          <w14:ligatures w14:val="standardContextual"/>
        </w:rPr>
        <w:t xml:space="preserve">Producția de energie din surse regenerabile are ca scop alimentarea </w:t>
      </w:r>
      <w:r w:rsidRPr="005F0F69">
        <w:rPr>
          <w:rFonts w:cs="Arial"/>
          <w:kern w:val="2"/>
          <w:lang w:val="pt-BR"/>
          <w14:ligatures w14:val="standardContextual"/>
        </w:rPr>
        <w:t xml:space="preserve">clădirilor publice, iluminatul public, transportul verde și </w:t>
      </w:r>
      <w:r w:rsidRPr="005F0F69">
        <w:rPr>
          <w:rFonts w:cs="Arial"/>
          <w:kern w:val="2"/>
          <w:lang w:val="pt-PT"/>
          <w14:ligatures w14:val="standardContextual"/>
        </w:rPr>
        <w:t>nu generarea de venituri. Eventualele venituri obținute vor fi utilizate pentru acoperirea costurilor de întreținere / scăderea costurilor totale pentru utilități sau conexe acestora.</w:t>
      </w:r>
    </w:p>
    <w:p w14:paraId="66A7E3BC" w14:textId="77777777" w:rsidR="005F0F69" w:rsidRPr="005F0F69" w:rsidRDefault="005F0F69" w:rsidP="005F0F69">
      <w:pPr>
        <w:pBdr>
          <w:top w:val="none" w:sz="0" w:space="0" w:color="auto"/>
          <w:left w:val="none" w:sz="0" w:space="0" w:color="auto"/>
          <w:bottom w:val="none" w:sz="0" w:space="0" w:color="auto"/>
          <w:right w:val="none" w:sz="0" w:space="0" w:color="auto"/>
          <w:between w:val="none" w:sz="0" w:space="0" w:color="auto"/>
        </w:pBdr>
        <w:spacing w:before="0" w:after="160" w:line="259" w:lineRule="auto"/>
        <w:ind w:left="0"/>
        <w:rPr>
          <w:rFonts w:cs="Arial"/>
          <w:kern w:val="2"/>
          <w:lang w:val="pt-PT"/>
          <w14:ligatures w14:val="standardContextual"/>
        </w:rPr>
      </w:pPr>
    </w:p>
    <w:p w14:paraId="7E179629" w14:textId="2DD41672" w:rsidR="005F0F69" w:rsidRPr="005F0F69" w:rsidRDefault="005F0F69" w:rsidP="005F0F69">
      <w:pPr>
        <w:pStyle w:val="ListParagraph"/>
        <w:tabs>
          <w:tab w:val="left" w:pos="0"/>
        </w:tabs>
        <w:ind w:left="0"/>
        <w:rPr>
          <w:rFonts w:cs="Arial"/>
          <w:kern w:val="2"/>
          <w:lang w:val="pt-PT"/>
          <w14:ligatures w14:val="standardContextual"/>
        </w:rPr>
      </w:pPr>
      <w:r w:rsidRPr="005F0F69">
        <w:rPr>
          <w:rFonts w:cs="Arial"/>
          <w:b/>
          <w:bCs/>
          <w:kern w:val="2"/>
          <w:lang w:val="pt-PT"/>
          <w14:ligatures w14:val="standardContextual"/>
        </w:rPr>
        <w:t>B</w:t>
      </w:r>
      <w:r w:rsidRPr="005F0F69">
        <w:rPr>
          <w:rFonts w:cs="Arial"/>
          <w:kern w:val="2"/>
          <w:lang w:val="pt-PT"/>
          <w14:ligatures w14:val="standardContextual"/>
        </w:rPr>
        <w:t>. Minim 3 kw și maxim 10 kw capacitate netă pentru producția de energie electrică, pentru fiecare gospodărie,</w:t>
      </w:r>
      <w:r w:rsidRPr="005F0F69">
        <w:t xml:space="preserve"> </w:t>
      </w:r>
      <w:r w:rsidRPr="005F0F69">
        <w:rPr>
          <w:rFonts w:cs="Arial"/>
          <w:kern w:val="2"/>
          <w:lang w:val="pt-PT"/>
          <w14:ligatures w14:val="standardContextual"/>
        </w:rPr>
        <w:t>care și-au exprimat intenția de a face parte din viitoarea comunitate de energie regenerabilă.</w:t>
      </w:r>
    </w:p>
    <w:p w14:paraId="7D19B65D" w14:textId="77777777" w:rsidR="008F4833" w:rsidRDefault="008F4833" w:rsidP="005F0F69">
      <w:pPr>
        <w:pStyle w:val="ListParagraph"/>
        <w:tabs>
          <w:tab w:val="left" w:pos="0"/>
        </w:tabs>
        <w:ind w:left="0"/>
        <w:rPr>
          <w:rFonts w:cs="Arial"/>
          <w:kern w:val="2"/>
          <w:lang w:val="pt-PT"/>
          <w14:ligatures w14:val="standardContextual"/>
        </w:rPr>
      </w:pPr>
    </w:p>
    <w:p w14:paraId="69E890E3" w14:textId="29FF62CA" w:rsidR="005F0F69" w:rsidRPr="00C6278D" w:rsidRDefault="005F0F69" w:rsidP="005F0F69">
      <w:pPr>
        <w:pStyle w:val="ListParagraph"/>
        <w:tabs>
          <w:tab w:val="left" w:pos="0"/>
        </w:tabs>
        <w:ind w:left="0"/>
        <w:rPr>
          <w:rFonts w:cs="Arial"/>
          <w:i/>
          <w:iCs/>
          <w:kern w:val="2"/>
          <w:lang w:val="pt-PT"/>
          <w14:ligatures w14:val="standardContextual"/>
        </w:rPr>
      </w:pPr>
      <w:r w:rsidRPr="00C6278D">
        <w:rPr>
          <w:rFonts w:cs="Arial"/>
          <w:i/>
          <w:iCs/>
          <w:kern w:val="2"/>
          <w:lang w:val="pt-PT"/>
          <w14:ligatures w14:val="standardContextual"/>
        </w:rPr>
        <w:t>Capacitățile solicitate pentru finanțare, care urmează a fi instalate prin proiect se vor dimensiona funcție de necesarul de consum al  fiecărei locații (clădire publică sau gospodărie), conform mediei consumurilor anterioare din ultimele 12 luni</w:t>
      </w:r>
      <w:r w:rsidR="008F4833" w:rsidRPr="00C6278D">
        <w:rPr>
          <w:rFonts w:cs="Arial"/>
          <w:i/>
          <w:iCs/>
          <w:kern w:val="2"/>
          <w:lang w:val="pt-PT"/>
          <w14:ligatures w14:val="standardContextual"/>
        </w:rPr>
        <w:t>, cuprinse în analiza din Lista de angajament</w:t>
      </w:r>
      <w:r w:rsidRPr="00C6278D">
        <w:rPr>
          <w:rFonts w:cs="Arial"/>
          <w:i/>
          <w:iCs/>
          <w:kern w:val="2"/>
          <w:lang w:val="pt-PT"/>
          <w14:ligatures w14:val="standardContextual"/>
        </w:rPr>
        <w:t>.</w:t>
      </w:r>
    </w:p>
    <w:p w14:paraId="1A0B472F" w14:textId="77777777" w:rsidR="005F0F69" w:rsidRPr="00C6278D" w:rsidRDefault="005F0F69" w:rsidP="005F0F69">
      <w:pPr>
        <w:pStyle w:val="ListParagraph"/>
        <w:tabs>
          <w:tab w:val="left" w:pos="0"/>
        </w:tabs>
        <w:ind w:left="0"/>
        <w:rPr>
          <w:rFonts w:cs="Arial"/>
          <w:i/>
          <w:iCs/>
          <w:kern w:val="2"/>
          <w:lang w:val="pt-PT"/>
          <w14:ligatures w14:val="standardContextual"/>
        </w:rPr>
      </w:pPr>
      <w:r w:rsidRPr="00C6278D">
        <w:rPr>
          <w:rFonts w:cs="Arial"/>
          <w:i/>
          <w:iCs/>
          <w:kern w:val="2"/>
          <w:lang w:val="pt-PT"/>
          <w14:ligatures w14:val="standardContextual"/>
        </w:rPr>
        <w:t>Producția de energie din surse regenerabile are ca scop acoperirea consumurilor gospodăriilor care vor face parte din viitoarea comunitate de energie, exclusiv pentru persoane fizice. Eventuale venituri obținute vor fi direcționate pentru acoperirea costurilor de întreținere și mentenanță specifice comunității de energie, precum și pentru cheltuielile din cadrul procesului de creare a acestei comunități, dacă se consideră necesar.</w:t>
      </w:r>
    </w:p>
    <w:p w14:paraId="3DB68D12" w14:textId="77777777" w:rsidR="005F0F69" w:rsidRPr="008F4833" w:rsidRDefault="005F0F69" w:rsidP="005F0F69">
      <w:pPr>
        <w:pStyle w:val="ListParagraph"/>
        <w:tabs>
          <w:tab w:val="left" w:pos="0"/>
        </w:tabs>
        <w:ind w:left="0"/>
        <w:rPr>
          <w:rFonts w:cs="Arial"/>
          <w:b/>
          <w:bCs/>
          <w:kern w:val="2"/>
          <w:lang w:val="pt-PT"/>
          <w14:ligatures w14:val="standardContextual"/>
        </w:rPr>
      </w:pPr>
      <w:r w:rsidRPr="008F4833">
        <w:rPr>
          <w:rFonts w:cs="Arial"/>
          <w:b/>
          <w:bCs/>
          <w:kern w:val="2"/>
          <w:lang w:val="pt-PT"/>
          <w14:ligatures w14:val="standardContextual"/>
        </w:rPr>
        <w:t>Atenție!</w:t>
      </w:r>
    </w:p>
    <w:p w14:paraId="4C09C14A" w14:textId="77777777" w:rsidR="005F0F69" w:rsidRPr="005F0F69" w:rsidRDefault="005F0F69" w:rsidP="005F0F69">
      <w:pPr>
        <w:pStyle w:val="ListParagraph"/>
        <w:tabs>
          <w:tab w:val="left" w:pos="0"/>
        </w:tabs>
        <w:ind w:left="0"/>
        <w:rPr>
          <w:rFonts w:cs="Arial"/>
          <w:kern w:val="2"/>
          <w:lang w:val="pt-PT"/>
          <w14:ligatures w14:val="standardContextual"/>
        </w:rPr>
      </w:pPr>
      <w:r w:rsidRPr="005F0F69">
        <w:rPr>
          <w:rFonts w:cs="Arial"/>
          <w:kern w:val="2"/>
          <w:lang w:val="pt-PT"/>
          <w14:ligatures w14:val="standardContextual"/>
        </w:rPr>
        <w:t>Stocarea va avea un procent de minim 15% și maximum 30% din valoarea finanțării acordate și este element obligatoriu în proiect</w:t>
      </w:r>
      <w:r>
        <w:rPr>
          <w:rFonts w:cs="Arial"/>
          <w:kern w:val="2"/>
          <w:lang w:val="pt-PT"/>
          <w14:ligatures w14:val="standardContextual"/>
        </w:rPr>
        <w:t xml:space="preserve"> </w:t>
      </w:r>
      <w:r w:rsidRPr="005F0F69">
        <w:rPr>
          <w:rFonts w:cs="Arial"/>
          <w:kern w:val="2"/>
          <w:lang w:val="pt-PT"/>
          <w14:ligatures w14:val="standardContextual"/>
        </w:rPr>
        <w:t xml:space="preserve">pentru fiecare dintre cele două acțiuni, respectiv A sau B..Nu sunt eligibile activități care presupun doar activitatea de stocare a energiei electrice. </w:t>
      </w:r>
    </w:p>
    <w:p w14:paraId="2D4902A2" w14:textId="77777777" w:rsidR="005F0F69" w:rsidRPr="005F0F69" w:rsidRDefault="005F0F69" w:rsidP="005F0F69">
      <w:pPr>
        <w:pStyle w:val="ListParagraph"/>
        <w:tabs>
          <w:tab w:val="left" w:pos="0"/>
        </w:tabs>
        <w:ind w:left="0"/>
        <w:rPr>
          <w:rFonts w:cs="Arial"/>
          <w:kern w:val="2"/>
          <w:lang w:val="pt-PT"/>
          <w14:ligatures w14:val="standardContextual"/>
        </w:rPr>
      </w:pPr>
      <w:r w:rsidRPr="005F0F69">
        <w:rPr>
          <w:rFonts w:cs="Arial"/>
          <w:kern w:val="2"/>
          <w:lang w:val="pt-PT"/>
          <w14:ligatures w14:val="standardContextual"/>
        </w:rPr>
        <w:t xml:space="preserve">În cadrul prezentului apel sunt sprijinite acțiuni care vizează instalarea de capacități noi de producere de energie din surse regenerabile, atât electrică cât și termică, care să asigure instituțiilor publice și viitoarelor comunități de energie accesul la energie din surse nepoluante, în acord cu Obiectivul de dezvoltare durabilă 7 (ODD 7) - „Energie curată și la prețuri accesibile”. </w:t>
      </w:r>
    </w:p>
    <w:p w14:paraId="7F61F08B" w14:textId="64F6D704" w:rsidR="005F0F69" w:rsidRDefault="005F0F69" w:rsidP="005F0F69">
      <w:pPr>
        <w:pStyle w:val="ListParagraph"/>
        <w:tabs>
          <w:tab w:val="left" w:pos="0"/>
        </w:tabs>
        <w:ind w:left="0"/>
        <w:rPr>
          <w:b/>
          <w:bCs/>
        </w:rPr>
      </w:pPr>
      <w:r w:rsidRPr="005F0F69">
        <w:rPr>
          <w:rFonts w:cs="Arial"/>
          <w:kern w:val="2"/>
          <w:lang w:val="pt-PT"/>
          <w14:ligatures w14:val="standardContextual"/>
        </w:rPr>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0C3777FB" w14:textId="77777777" w:rsidR="005F0F69" w:rsidRPr="00BF6B67" w:rsidRDefault="005F0F69" w:rsidP="00BF6B67">
      <w:pPr>
        <w:tabs>
          <w:tab w:val="left" w:pos="0"/>
        </w:tabs>
        <w:ind w:left="0"/>
        <w:rPr>
          <w:b/>
          <w:bCs/>
        </w:rPr>
      </w:pPr>
    </w:p>
    <w:p w14:paraId="49D3EBA0" w14:textId="77777777" w:rsidR="005F0F69" w:rsidRDefault="005F0F69" w:rsidP="005F0F69">
      <w:pPr>
        <w:pStyle w:val="ListParagraph"/>
        <w:tabs>
          <w:tab w:val="left" w:pos="0"/>
        </w:tabs>
        <w:rPr>
          <w:b/>
          <w:bCs/>
        </w:rPr>
      </w:pPr>
    </w:p>
    <w:p w14:paraId="4AB843E8" w14:textId="5FC8249E" w:rsidR="00A657B7" w:rsidRPr="00AC05D3" w:rsidRDefault="00245051">
      <w:pPr>
        <w:pStyle w:val="ListParagraph"/>
        <w:numPr>
          <w:ilvl w:val="0"/>
          <w:numId w:val="21"/>
        </w:numPr>
        <w:rPr>
          <w:b/>
          <w:bCs/>
          <w:color w:val="1C6194" w:themeColor="accent6" w:themeShade="BF"/>
        </w:rPr>
      </w:pPr>
      <w:r w:rsidRPr="00AC05D3">
        <w:rPr>
          <w:b/>
          <w:bCs/>
          <w:color w:val="1C6194" w:themeColor="accent6" w:themeShade="BF"/>
        </w:rPr>
        <w:t>ACTIVITĂȚI AFERENTE ACTIVITĂȚII DE BAZĂ</w:t>
      </w:r>
    </w:p>
    <w:p w14:paraId="1A120934" w14:textId="332E752C" w:rsidR="00A657B7" w:rsidRPr="00AC05D3" w:rsidRDefault="00245051">
      <w:pPr>
        <w:numPr>
          <w:ilvl w:val="0"/>
          <w:numId w:val="20"/>
        </w:numPr>
        <w:rPr>
          <w:b/>
          <w:bCs/>
          <w:color w:val="1C6194" w:themeColor="accent6" w:themeShade="BF"/>
          <w:lang w:val="fr-FR"/>
        </w:rPr>
      </w:pPr>
      <w:r w:rsidRPr="00AC05D3">
        <w:rPr>
          <w:b/>
          <w:bCs/>
          <w:color w:val="1C6194" w:themeColor="accent6" w:themeShade="BF"/>
        </w:rPr>
        <w:t>Realizarea capacităților de producere energie electrică şi termică în cogenerare</w:t>
      </w:r>
      <w:r w:rsidR="00C6278D">
        <w:rPr>
          <w:b/>
          <w:bCs/>
          <w:color w:val="1C6194" w:themeColor="accent6" w:themeShade="BF"/>
        </w:rPr>
        <w:t>/ cogenerare de ănaltă eficiență</w:t>
      </w:r>
      <w:r w:rsidRPr="00AC05D3">
        <w:rPr>
          <w:b/>
          <w:bCs/>
          <w:color w:val="1C6194" w:themeColor="accent6" w:themeShade="BF"/>
        </w:rPr>
        <w:t xml:space="preserve"> din SRE, cu excepția biomasei, pentru consum propriu.</w:t>
      </w:r>
    </w:p>
    <w:p w14:paraId="40F7D546" w14:textId="77777777" w:rsidR="00A657B7" w:rsidRPr="00AC05D3" w:rsidRDefault="00245051">
      <w:pPr>
        <w:numPr>
          <w:ilvl w:val="0"/>
          <w:numId w:val="20"/>
        </w:numPr>
        <w:rPr>
          <w:b/>
          <w:bCs/>
          <w:color w:val="1C6194" w:themeColor="accent6" w:themeShade="BF"/>
          <w:lang w:val="fr-FR"/>
        </w:rPr>
      </w:pPr>
      <w:r w:rsidRPr="00AC05D3">
        <w:rPr>
          <w:b/>
          <w:bCs/>
          <w:color w:val="1C6194" w:themeColor="accent6" w:themeShade="BF"/>
        </w:rPr>
        <w:t>Realizarea capacităților de producere energie electrică sau termică din SRE, cu excepția biomasei, pentru consum propriu.</w:t>
      </w:r>
    </w:p>
    <w:p w14:paraId="7EBDBFE8" w14:textId="356FFCF5" w:rsidR="00A657B7" w:rsidRPr="00AC05D3" w:rsidRDefault="00245051">
      <w:pPr>
        <w:numPr>
          <w:ilvl w:val="0"/>
          <w:numId w:val="20"/>
        </w:numPr>
        <w:rPr>
          <w:b/>
          <w:bCs/>
          <w:color w:val="1C6194" w:themeColor="accent6" w:themeShade="BF"/>
          <w:lang w:val="fr-FR"/>
        </w:rPr>
      </w:pPr>
      <w:r w:rsidRPr="00AC05D3">
        <w:rPr>
          <w:b/>
          <w:bCs/>
          <w:color w:val="1C6194" w:themeColor="accent6" w:themeShade="BF"/>
        </w:rPr>
        <w:t xml:space="preserve">Realizarea capacitaților de stocare a energiei (electrice sau termice) </w:t>
      </w:r>
      <w:bookmarkStart w:id="132" w:name="_Hlk213227204"/>
      <w:r w:rsidR="00E67BDF" w:rsidRPr="00AC05D3">
        <w:rPr>
          <w:b/>
          <w:bCs/>
          <w:color w:val="1C6194" w:themeColor="accent6" w:themeShade="BF"/>
        </w:rPr>
        <w:t>minim echivalent al capacității instalate la nivelul locației.</w:t>
      </w:r>
    </w:p>
    <w:bookmarkEnd w:id="132"/>
    <w:p w14:paraId="5078338C" w14:textId="77777777" w:rsidR="00A657B7" w:rsidRPr="00BF6B67" w:rsidRDefault="00A657B7">
      <w:pPr>
        <w:rPr>
          <w:b/>
          <w:bCs/>
          <w:highlight w:val="yellow"/>
        </w:rPr>
      </w:pPr>
    </w:p>
    <w:p w14:paraId="2E5E5CE6" w14:textId="77777777" w:rsidR="00A657B7" w:rsidRPr="00BF6B67" w:rsidRDefault="00A657B7">
      <w:pPr>
        <w:spacing w:before="0" w:after="0"/>
        <w:rPr>
          <w:highlight w:val="yellow"/>
        </w:rPr>
      </w:pPr>
    </w:p>
    <w:p w14:paraId="751EB1A1" w14:textId="77777777" w:rsidR="00A657B7" w:rsidRPr="003B6776" w:rsidRDefault="00245051" w:rsidP="003B6776">
      <w:pPr>
        <w:rPr>
          <w:b/>
          <w:bCs/>
          <w:color w:val="1C6194" w:themeColor="accent6" w:themeShade="BF"/>
          <w:lang w:val="fr-FR"/>
        </w:rPr>
      </w:pPr>
      <w:r w:rsidRPr="003B6776">
        <w:rPr>
          <w:b/>
          <w:bCs/>
          <w:color w:val="1C6194" w:themeColor="accent6" w:themeShade="BF"/>
          <w:lang w:val="fr-FR"/>
        </w:rPr>
        <w:t xml:space="preserve">A. </w:t>
      </w:r>
      <w:proofErr w:type="spellStart"/>
      <w:r w:rsidRPr="003B6776">
        <w:rPr>
          <w:b/>
          <w:bCs/>
          <w:color w:val="1C6194" w:themeColor="accent6" w:themeShade="BF"/>
          <w:lang w:val="fr-FR"/>
        </w:rPr>
        <w:t>Realizarea</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capacităţilor</w:t>
      </w:r>
      <w:proofErr w:type="spellEnd"/>
      <w:r w:rsidRPr="003B6776">
        <w:rPr>
          <w:b/>
          <w:bCs/>
          <w:color w:val="1C6194" w:themeColor="accent6" w:themeShade="BF"/>
          <w:lang w:val="fr-FR"/>
        </w:rPr>
        <w:t xml:space="preserve"> de </w:t>
      </w:r>
      <w:proofErr w:type="spellStart"/>
      <w:r w:rsidRPr="003B6776">
        <w:rPr>
          <w:b/>
          <w:bCs/>
          <w:color w:val="1C6194" w:themeColor="accent6" w:themeShade="BF"/>
          <w:lang w:val="fr-FR"/>
        </w:rPr>
        <w:t>producere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energie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electrică</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şi</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termică</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în</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cogenerare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din</w:t>
      </w:r>
      <w:proofErr w:type="spellEnd"/>
      <w:r w:rsidRPr="003B6776">
        <w:rPr>
          <w:b/>
          <w:bCs/>
          <w:color w:val="1C6194" w:themeColor="accent6" w:themeShade="BF"/>
          <w:lang w:val="fr-FR"/>
        </w:rPr>
        <w:t xml:space="preserve"> SRE, </w:t>
      </w:r>
      <w:proofErr w:type="spellStart"/>
      <w:r w:rsidRPr="003B6776">
        <w:rPr>
          <w:b/>
          <w:bCs/>
          <w:color w:val="1C6194" w:themeColor="accent6" w:themeShade="BF"/>
          <w:lang w:val="fr-FR"/>
        </w:rPr>
        <w:t>cu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excepția</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biomasei</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pentru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consum</w:t>
      </w:r>
      <w:proofErr w:type="spellEnd"/>
      <w:r w:rsidRPr="003B6776">
        <w:rPr>
          <w:b/>
          <w:bCs/>
          <w:color w:val="1C6194" w:themeColor="accent6" w:themeShade="BF"/>
          <w:lang w:val="fr-FR"/>
        </w:rPr>
        <w:t xml:space="preserve"> </w:t>
      </w:r>
      <w:proofErr w:type="spellStart"/>
      <w:proofErr w:type="gramStart"/>
      <w:r w:rsidRPr="003B6776">
        <w:rPr>
          <w:b/>
          <w:bCs/>
          <w:color w:val="1C6194" w:themeColor="accent6" w:themeShade="BF"/>
          <w:lang w:val="fr-FR"/>
        </w:rPr>
        <w:t>propriu</w:t>
      </w:r>
      <w:proofErr w:type="spellEnd"/>
      <w:r w:rsidRPr="003B6776">
        <w:rPr>
          <w:b/>
          <w:bCs/>
          <w:color w:val="1C6194" w:themeColor="accent6" w:themeShade="BF"/>
          <w:lang w:val="fr-FR"/>
        </w:rPr>
        <w:t>;</w:t>
      </w:r>
      <w:proofErr w:type="gramEnd"/>
    </w:p>
    <w:p w14:paraId="359151AB" w14:textId="77777777" w:rsidR="00A657B7" w:rsidRPr="00E67BDF" w:rsidRDefault="00A657B7">
      <w:pPr>
        <w:spacing w:before="0" w:after="0"/>
      </w:pPr>
    </w:p>
    <w:p w14:paraId="22F6E16B" w14:textId="4046DA9D" w:rsidR="00A657B7" w:rsidRPr="00E67BDF" w:rsidRDefault="00245051">
      <w:pPr>
        <w:spacing w:before="0" w:after="0"/>
      </w:pPr>
      <w:r w:rsidRPr="00E67BDF">
        <w:rPr>
          <w:color w:val="000000"/>
        </w:rPr>
        <w:t>Activitățile de tip A presupun investiții în realizarea de unități de cogenerare</w:t>
      </w:r>
      <w:r w:rsidR="00E67BDF" w:rsidRPr="00E67BDF">
        <w:rPr>
          <w:color w:val="000000"/>
        </w:rPr>
        <w:t>/ cogenerare</w:t>
      </w:r>
      <w:r w:rsidRPr="00E67BDF">
        <w:rPr>
          <w:color w:val="000000"/>
        </w:rPr>
        <w:t xml:space="preserve"> de înaltă eficiență noi destinate obținerii de energie din surse regenerabile, cu excepția biomasei, </w:t>
      </w:r>
      <w:bookmarkStart w:id="133" w:name="_Hlk213341081"/>
      <w:r w:rsidR="002E5930">
        <w:rPr>
          <w:color w:val="000000"/>
        </w:rPr>
        <w:t>racordare la SEN/,</w:t>
      </w:r>
      <w:r w:rsidR="00505CE9" w:rsidRPr="00E67BDF">
        <w:rPr>
          <w:color w:val="000000"/>
        </w:rPr>
        <w:t xml:space="preserve"> între punctul de producție </w:t>
      </w:r>
      <w:r w:rsidRPr="00E67BDF">
        <w:rPr>
          <w:color w:val="000000"/>
        </w:rPr>
        <w:t>ș</w:t>
      </w:r>
      <w:r w:rsidRPr="00E67BDF">
        <w:rPr>
          <w:color w:val="000000"/>
        </w:rPr>
        <w:t xml:space="preserve">i </w:t>
      </w:r>
      <w:r w:rsidR="00505CE9" w:rsidRPr="00E67BDF">
        <w:rPr>
          <w:color w:val="000000"/>
        </w:rPr>
        <w:t>punctul de consum</w:t>
      </w:r>
      <w:r w:rsidR="002E5930">
        <w:rPr>
          <w:color w:val="000000"/>
        </w:rPr>
        <w:t xml:space="preserve"> sau</w:t>
      </w:r>
      <w:r w:rsidR="00505CE9" w:rsidRPr="00E67BDF">
        <w:rPr>
          <w:color w:val="000000"/>
        </w:rPr>
        <w:t xml:space="preserve"> </w:t>
      </w:r>
      <w:r w:rsidRPr="00E67BDF">
        <w:rPr>
          <w:color w:val="000000"/>
        </w:rPr>
        <w:t xml:space="preserve">stocare pentru consumul propriu al </w:t>
      </w:r>
      <w:r w:rsidR="00505CE9" w:rsidRPr="00E67BDF">
        <w:rPr>
          <w:color w:val="000000"/>
        </w:rPr>
        <w:t>clădirilor din proiect</w:t>
      </w:r>
      <w:r w:rsidR="00E67BDF" w:rsidRPr="00E67BDF">
        <w:rPr>
          <w:color w:val="000000"/>
        </w:rPr>
        <w:t>.</w:t>
      </w:r>
    </w:p>
    <w:bookmarkEnd w:id="133"/>
    <w:p w14:paraId="7432869B" w14:textId="77777777" w:rsidR="00A657B7" w:rsidRPr="00BF6B67" w:rsidRDefault="00A657B7">
      <w:pPr>
        <w:spacing w:before="0" w:after="0"/>
        <w:rPr>
          <w:highlight w:val="yellow"/>
        </w:rPr>
      </w:pPr>
    </w:p>
    <w:p w14:paraId="5162E61D" w14:textId="1922635E" w:rsidR="00A657B7" w:rsidRPr="00E67BDF" w:rsidRDefault="00245051">
      <w:pPr>
        <w:spacing w:before="0" w:after="0"/>
      </w:pPr>
      <w:r w:rsidRPr="00E67BDF">
        <w:rPr>
          <w:color w:val="000000"/>
        </w:rPr>
        <w:lastRenderedPageBreak/>
        <w:t>a) realizarea de unități de cogenerare, noi pentru obținerea în cogenerare de energie termică și electrică din surse regenerabile destinate consumului propriu al autorităților publice locale</w:t>
      </w:r>
      <w:r w:rsidR="00505CE9" w:rsidRPr="00E67BDF">
        <w:rPr>
          <w:color w:val="000000"/>
        </w:rPr>
        <w:t>/ gospodăriilor, după caz</w:t>
      </w:r>
      <w:r w:rsidRPr="00E67BDF">
        <w:rPr>
          <w:color w:val="000000"/>
        </w:rPr>
        <w:t>;</w:t>
      </w:r>
    </w:p>
    <w:p w14:paraId="5A22BF79" w14:textId="77777777" w:rsidR="00A657B7" w:rsidRPr="00E67BDF" w:rsidRDefault="00A657B7">
      <w:pPr>
        <w:spacing w:before="0" w:after="0"/>
      </w:pPr>
    </w:p>
    <w:p w14:paraId="0218761A" w14:textId="45C77686" w:rsidR="00A657B7" w:rsidRPr="00E67BDF" w:rsidRDefault="00245051">
      <w:pPr>
        <w:spacing w:before="0" w:after="0"/>
      </w:pPr>
      <w:r w:rsidRPr="00E67BDF">
        <w:rPr>
          <w:color w:val="000000"/>
        </w:rPr>
        <w:t xml:space="preserve">b) </w:t>
      </w:r>
      <w:r w:rsidR="00E67BDF" w:rsidRPr="00E67BDF">
        <w:rPr>
          <w:color w:val="000000"/>
        </w:rPr>
        <w:t>r</w:t>
      </w:r>
      <w:r w:rsidRPr="00E67BDF">
        <w:rPr>
          <w:color w:val="000000"/>
        </w:rPr>
        <w:t xml:space="preserve">ealizarea </w:t>
      </w:r>
      <w:r w:rsidR="00505CE9" w:rsidRPr="00E67BDF">
        <w:rPr>
          <w:color w:val="000000"/>
        </w:rPr>
        <w:t xml:space="preserve">fracției de </w:t>
      </w:r>
      <w:r w:rsidRPr="00E67BDF">
        <w:rPr>
          <w:color w:val="000000"/>
        </w:rPr>
        <w:t>reţe</w:t>
      </w:r>
      <w:r w:rsidR="00505CE9" w:rsidRPr="00E67BDF">
        <w:rPr>
          <w:color w:val="000000"/>
        </w:rPr>
        <w:t>a</w:t>
      </w:r>
      <w:r w:rsidRPr="00E67BDF">
        <w:rPr>
          <w:color w:val="000000"/>
        </w:rPr>
        <w:t xml:space="preserve"> </w:t>
      </w:r>
      <w:r w:rsidR="00E67BDF" w:rsidRPr="00E67BDF">
        <w:rPr>
          <w:color w:val="000000"/>
        </w:rPr>
        <w:t>integrate</w:t>
      </w:r>
      <w:r w:rsidR="004F1B1C">
        <w:rPr>
          <w:color w:val="000000"/>
        </w:rPr>
        <w:t xml:space="preserve"> </w:t>
      </w:r>
      <w:r w:rsidR="00630630">
        <w:rPr>
          <w:color w:val="000000"/>
        </w:rPr>
        <w:t>pentru</w:t>
      </w:r>
      <w:r w:rsidR="00E67BDF" w:rsidRPr="00E67BDF">
        <w:rPr>
          <w:color w:val="000000"/>
        </w:rPr>
        <w:t xml:space="preserve"> </w:t>
      </w:r>
      <w:r w:rsidR="00630630" w:rsidRPr="00630630">
        <w:rPr>
          <w:color w:val="000000"/>
        </w:rPr>
        <w:t>racordare la SEN</w:t>
      </w:r>
      <w:r w:rsidR="004F1B1C">
        <w:rPr>
          <w:color w:val="000000"/>
        </w:rPr>
        <w:t>/ transportul energiei termice</w:t>
      </w:r>
      <w:r w:rsidR="00630630" w:rsidRPr="00630630">
        <w:rPr>
          <w:color w:val="000000"/>
        </w:rPr>
        <w:t xml:space="preserve"> între punctul de producție și punctul de consum sau stocare pentru consumul propriu al clădirilor din proiect.</w:t>
      </w:r>
    </w:p>
    <w:p w14:paraId="7F77818F" w14:textId="23E82614" w:rsidR="00A657B7" w:rsidRDefault="00245051">
      <w:pPr>
        <w:rPr>
          <w:color w:val="000000"/>
        </w:rPr>
      </w:pPr>
      <w:bookmarkStart w:id="134" w:name="_Hlk213227183"/>
      <w:r w:rsidRPr="00AC05D3">
        <w:rPr>
          <w:color w:val="000000"/>
        </w:rPr>
        <w:t>Nu sunt eligibile cheltuielile cu realizarea rețele</w:t>
      </w:r>
      <w:r w:rsidR="00630630">
        <w:rPr>
          <w:color w:val="000000"/>
        </w:rPr>
        <w:t>i</w:t>
      </w:r>
      <w:r w:rsidR="00AC05D3" w:rsidRPr="00AC05D3">
        <w:rPr>
          <w:color w:val="000000"/>
        </w:rPr>
        <w:t xml:space="preserve"> </w:t>
      </w:r>
      <w:r w:rsidRPr="00AC05D3">
        <w:rPr>
          <w:color w:val="000000"/>
        </w:rPr>
        <w:t>de distribuție a energiei</w:t>
      </w:r>
      <w:r w:rsidR="00E67BDF" w:rsidRPr="00AC05D3">
        <w:rPr>
          <w:color w:val="000000"/>
        </w:rPr>
        <w:t>.</w:t>
      </w:r>
      <w:r w:rsidRPr="00AC05D3">
        <w:rPr>
          <w:color w:val="000000"/>
        </w:rPr>
        <w:t xml:space="preserve"> </w:t>
      </w:r>
      <w:r w:rsidR="00E67BDF" w:rsidRPr="00AC05D3">
        <w:rPr>
          <w:color w:val="000000"/>
        </w:rPr>
        <w:t>Î</w:t>
      </w:r>
      <w:r w:rsidRPr="00AC05D3">
        <w:rPr>
          <w:color w:val="000000"/>
        </w:rPr>
        <w:t>n cazul energiei electrice se consider</w:t>
      </w:r>
      <w:r w:rsidR="00D725FE">
        <w:rPr>
          <w:color w:val="000000"/>
        </w:rPr>
        <w:t>ă</w:t>
      </w:r>
      <w:r w:rsidRPr="00AC05D3">
        <w:rPr>
          <w:color w:val="000000"/>
        </w:rPr>
        <w:t xml:space="preserve"> că rețeaua realizată prin proiect este până la punctul de injecţie în </w:t>
      </w:r>
      <w:r w:rsidR="00AC05D3" w:rsidRPr="00AC05D3">
        <w:rPr>
          <w:color w:val="000000"/>
        </w:rPr>
        <w:t xml:space="preserve">rețeaua </w:t>
      </w:r>
      <w:r w:rsidR="00D725FE">
        <w:rPr>
          <w:color w:val="000000"/>
        </w:rPr>
        <w:t>SEN</w:t>
      </w:r>
      <w:r w:rsidRPr="00AC05D3">
        <w:rPr>
          <w:color w:val="000000"/>
        </w:rPr>
        <w:t xml:space="preserve"> – instalația de racordare confo</w:t>
      </w:r>
      <w:r w:rsidR="00630630">
        <w:rPr>
          <w:color w:val="000000"/>
        </w:rPr>
        <w:t>r</w:t>
      </w:r>
      <w:r w:rsidRPr="00AC05D3">
        <w:rPr>
          <w:color w:val="000000"/>
        </w:rPr>
        <w:t xml:space="preserve">m ATR (incluzând toate instalațiile aferente, începând de la capacitatea de producţie şi până la transformatorul principal acolo unde este cazul). </w:t>
      </w:r>
    </w:p>
    <w:p w14:paraId="4966765A" w14:textId="2285E74A" w:rsidR="003B6776" w:rsidRPr="00AC05D3" w:rsidRDefault="003B6776">
      <w:r>
        <w:rPr>
          <w:color w:val="000000"/>
        </w:rPr>
        <w:t>Pot integra c</w:t>
      </w:r>
      <w:r w:rsidRPr="003B6776">
        <w:rPr>
          <w:color w:val="000000"/>
        </w:rPr>
        <w:t>omponente ale instalațiilor precum invertoare, structuri de montaj, sisteme de monitorizare (smart meters)</w:t>
      </w:r>
      <w:r>
        <w:rPr>
          <w:color w:val="000000"/>
        </w:rPr>
        <w:t>.</w:t>
      </w:r>
    </w:p>
    <w:bookmarkEnd w:id="134"/>
    <w:p w14:paraId="26B23B0C" w14:textId="77777777" w:rsidR="00A657B7" w:rsidRPr="003B6776" w:rsidRDefault="00245051">
      <w:pPr>
        <w:spacing w:before="0" w:after="0"/>
        <w:rPr>
          <w:b/>
          <w:bCs/>
          <w:color w:val="1C6194" w:themeColor="accent6" w:themeShade="BF"/>
          <w:lang w:val="fr-FR"/>
        </w:rPr>
      </w:pPr>
      <w:r w:rsidRPr="003B6776">
        <w:rPr>
          <w:b/>
          <w:bCs/>
          <w:color w:val="1C6194" w:themeColor="accent6" w:themeShade="BF"/>
          <w:lang w:val="fr-FR"/>
        </w:rPr>
        <w:t xml:space="preserve">B. </w:t>
      </w:r>
      <w:proofErr w:type="spellStart"/>
      <w:r w:rsidRPr="003B6776">
        <w:rPr>
          <w:b/>
          <w:bCs/>
          <w:color w:val="1C6194" w:themeColor="accent6" w:themeShade="BF"/>
          <w:lang w:val="fr-FR"/>
        </w:rPr>
        <w:t>Realizarea</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capacităților</w:t>
      </w:r>
      <w:proofErr w:type="spellEnd"/>
      <w:r w:rsidRPr="003B6776">
        <w:rPr>
          <w:b/>
          <w:bCs/>
          <w:color w:val="1C6194" w:themeColor="accent6" w:themeShade="BF"/>
          <w:lang w:val="fr-FR"/>
        </w:rPr>
        <w:t xml:space="preserve"> de </w:t>
      </w:r>
      <w:proofErr w:type="spellStart"/>
      <w:r w:rsidRPr="003B6776">
        <w:rPr>
          <w:b/>
          <w:bCs/>
          <w:color w:val="1C6194" w:themeColor="accent6" w:themeShade="BF"/>
          <w:lang w:val="fr-FR"/>
        </w:rPr>
        <w:t>producere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energie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electrică</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sau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termică</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din</w:t>
      </w:r>
      <w:proofErr w:type="spellEnd"/>
      <w:r w:rsidRPr="003B6776">
        <w:rPr>
          <w:b/>
          <w:bCs/>
          <w:color w:val="1C6194" w:themeColor="accent6" w:themeShade="BF"/>
          <w:lang w:val="fr-FR"/>
        </w:rPr>
        <w:t xml:space="preserve"> SRE, </w:t>
      </w:r>
      <w:proofErr w:type="spellStart"/>
      <w:r w:rsidRPr="003B6776">
        <w:rPr>
          <w:b/>
          <w:bCs/>
          <w:color w:val="1C6194" w:themeColor="accent6" w:themeShade="BF"/>
          <w:lang w:val="fr-FR"/>
        </w:rPr>
        <w:t>cu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excepția</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biomasei</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pentru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consum</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propriu</w:t>
      </w:r>
      <w:proofErr w:type="spellEnd"/>
    </w:p>
    <w:p w14:paraId="1E8FFBBA" w14:textId="07C69A42" w:rsidR="00A657B7" w:rsidRPr="00AC05D3" w:rsidRDefault="00245051">
      <w:r w:rsidRPr="00AC05D3">
        <w:rPr>
          <w:b/>
          <w:bCs/>
          <w:color w:val="000000"/>
        </w:rPr>
        <w:t>Activitățile de tip B</w:t>
      </w:r>
      <w:r w:rsidRPr="00AC05D3">
        <w:rPr>
          <w:color w:val="000000"/>
        </w:rPr>
        <w:t xml:space="preserve"> presupun investiții în echipamente, utilaje, </w:t>
      </w:r>
      <w:r w:rsidR="00AC05D3" w:rsidRPr="00AC05D3">
        <w:rPr>
          <w:color w:val="000000"/>
        </w:rPr>
        <w:t xml:space="preserve">kituri de montaj, </w:t>
      </w:r>
      <w:r w:rsidRPr="00AC05D3">
        <w:rPr>
          <w:color w:val="000000"/>
        </w:rPr>
        <w:t>dotări specifice necesare pentru obținerea de energie din surse regenerabile destinată consumului propriu de energie al autorităților publice locale</w:t>
      </w:r>
      <w:r w:rsidR="00AC05D3" w:rsidRPr="00AC05D3">
        <w:rPr>
          <w:color w:val="000000"/>
        </w:rPr>
        <w:t>/ al gospodăriilor cuprinse în Lista de angajament</w:t>
      </w:r>
      <w:r w:rsidRPr="00AC05D3">
        <w:rPr>
          <w:color w:val="000000"/>
        </w:rPr>
        <w:t>:</w:t>
      </w:r>
    </w:p>
    <w:p w14:paraId="14B8C32C" w14:textId="77777777" w:rsidR="00A657B7" w:rsidRPr="00AC05D3" w:rsidRDefault="00245051">
      <w:r w:rsidRPr="00AC05D3">
        <w:rPr>
          <w:color w:val="000000"/>
        </w:rPr>
        <w:t>a) realizarea  de capacități de producție  pentru obținerea de energie din surse regenerabile;</w:t>
      </w:r>
    </w:p>
    <w:p w14:paraId="0F243618" w14:textId="2A15ED72" w:rsidR="00A657B7" w:rsidRPr="00AC05D3" w:rsidRDefault="00245051">
      <w:r w:rsidRPr="00AC05D3">
        <w:rPr>
          <w:color w:val="000000"/>
        </w:rPr>
        <w:t xml:space="preserve">b) </w:t>
      </w:r>
      <w:r w:rsidR="00AC05D3" w:rsidRPr="00AC05D3">
        <w:rPr>
          <w:color w:val="000000"/>
        </w:rPr>
        <w:t>r</w:t>
      </w:r>
      <w:r w:rsidRPr="00AC05D3">
        <w:rPr>
          <w:color w:val="000000"/>
        </w:rPr>
        <w:t>ealizarea rețelelor</w:t>
      </w:r>
      <w:r w:rsidR="00630630">
        <w:rPr>
          <w:color w:val="000000"/>
        </w:rPr>
        <w:t xml:space="preserve"> pentru</w:t>
      </w:r>
      <w:r w:rsidRPr="00AC05D3">
        <w:rPr>
          <w:color w:val="000000"/>
        </w:rPr>
        <w:t xml:space="preserve"> </w:t>
      </w:r>
      <w:r w:rsidR="00630630" w:rsidRPr="00630630">
        <w:rPr>
          <w:color w:val="000000"/>
        </w:rPr>
        <w:t xml:space="preserve">racordare la SEN/ </w:t>
      </w:r>
      <w:r w:rsidR="00D725FE">
        <w:rPr>
          <w:color w:val="000000"/>
        </w:rPr>
        <w:t>rețeaua pentru transportul energiei termice</w:t>
      </w:r>
      <w:r w:rsidR="00630630" w:rsidRPr="00630630">
        <w:rPr>
          <w:color w:val="000000"/>
        </w:rPr>
        <w:t xml:space="preserve"> între punctul de producție și punctul de consum sau stocare pentru consumul propriu al clădirilor din proiect.</w:t>
      </w:r>
      <w:r w:rsidRPr="00AC05D3">
        <w:rPr>
          <w:color w:val="000000"/>
        </w:rPr>
        <w:t xml:space="preserve"> </w:t>
      </w:r>
    </w:p>
    <w:p w14:paraId="7B3BF8A7" w14:textId="4F190E16" w:rsidR="00A657B7" w:rsidRDefault="00AC05D3">
      <w:pPr>
        <w:rPr>
          <w:color w:val="000000"/>
          <w:highlight w:val="yellow"/>
        </w:rPr>
      </w:pPr>
      <w:r w:rsidRPr="00AC05D3">
        <w:rPr>
          <w:color w:val="000000"/>
        </w:rPr>
        <w:t xml:space="preserve">Nu sunt eligibile cheltuielile cu realizarea rețelelor noi de distribuție a energiei. În cazul energiei electrice se considera că rețeaua realizată prin proiect este până la punctul de injecţie în </w:t>
      </w:r>
      <w:r w:rsidR="00D725FE">
        <w:rPr>
          <w:color w:val="000000"/>
        </w:rPr>
        <w:t>SEN</w:t>
      </w:r>
      <w:r w:rsidRPr="00AC05D3">
        <w:rPr>
          <w:color w:val="000000"/>
        </w:rPr>
        <w:t xml:space="preserve"> – instalația de racordare confrom ATR (incluzând toate instalațiile aferente, începând de la capacitatea de producţie şi până la transformatorul principal acolo unde este cazul). </w:t>
      </w:r>
    </w:p>
    <w:p w14:paraId="5D0CD95F" w14:textId="2C82871D" w:rsidR="003B6776" w:rsidRPr="00BF6B67" w:rsidRDefault="003B6776">
      <w:pPr>
        <w:rPr>
          <w:highlight w:val="yellow"/>
        </w:rPr>
      </w:pPr>
      <w:r w:rsidRPr="003B6776">
        <w:t>Pot integra componente ale instalațiilor precum invertoare, structuri de montaj, sisteme de monitorizare (smart meters).</w:t>
      </w:r>
    </w:p>
    <w:p w14:paraId="46BF18E0" w14:textId="77777777" w:rsidR="00A657B7" w:rsidRPr="00BF6B67" w:rsidRDefault="00A657B7">
      <w:pPr>
        <w:spacing w:before="0" w:after="0"/>
        <w:rPr>
          <w:b/>
          <w:bCs/>
          <w:highlight w:val="yellow"/>
        </w:rPr>
      </w:pPr>
    </w:p>
    <w:p w14:paraId="2C2A2D1B" w14:textId="09C97CC8" w:rsidR="00A657B7" w:rsidRPr="003B6776" w:rsidRDefault="00245051">
      <w:pPr>
        <w:spacing w:before="0" w:after="0"/>
        <w:rPr>
          <w:b/>
          <w:bCs/>
          <w:color w:val="1C6194" w:themeColor="accent6" w:themeShade="BF"/>
          <w:lang w:val="fr-FR"/>
        </w:rPr>
      </w:pPr>
      <w:proofErr w:type="spellStart"/>
      <w:r w:rsidRPr="003B6776">
        <w:rPr>
          <w:b/>
          <w:bCs/>
          <w:color w:val="1C6194" w:themeColor="accent6" w:themeShade="BF"/>
          <w:lang w:val="fr-FR"/>
        </w:rPr>
        <w:t>C.Realizarea</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capacitaților</w:t>
      </w:r>
      <w:proofErr w:type="spellEnd"/>
      <w:r w:rsidRPr="003B6776">
        <w:rPr>
          <w:b/>
          <w:bCs/>
          <w:color w:val="1C6194" w:themeColor="accent6" w:themeShade="BF"/>
          <w:lang w:val="fr-FR"/>
        </w:rPr>
        <w:t xml:space="preserve"> de </w:t>
      </w:r>
      <w:proofErr w:type="spellStart"/>
      <w:r w:rsidRPr="003B6776">
        <w:rPr>
          <w:b/>
          <w:bCs/>
          <w:color w:val="1C6194" w:themeColor="accent6" w:themeShade="BF"/>
          <w:lang w:val="fr-FR"/>
        </w:rPr>
        <w:t>stocare</w:t>
      </w:r>
      <w:proofErr w:type="spellEnd"/>
      <w:r w:rsidRPr="003B6776">
        <w:rPr>
          <w:b/>
          <w:bCs/>
          <w:color w:val="1C6194" w:themeColor="accent6" w:themeShade="BF"/>
          <w:lang w:val="fr-FR"/>
        </w:rPr>
        <w:t xml:space="preserve"> a </w:t>
      </w:r>
      <w:proofErr w:type="spellStart"/>
      <w:r w:rsidRPr="003B6776">
        <w:rPr>
          <w:b/>
          <w:bCs/>
          <w:color w:val="1C6194" w:themeColor="accent6" w:themeShade="BF"/>
          <w:lang w:val="fr-FR"/>
        </w:rPr>
        <w:t>energiei</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electrice</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sau</w:t>
      </w:r>
      <w:proofErr w:type="spellEnd"/>
      <w:r w:rsidRPr="003B6776">
        <w:rPr>
          <w:b/>
          <w:bCs/>
          <w:color w:val="1C6194" w:themeColor="accent6" w:themeShade="BF"/>
          <w:lang w:val="fr-FR"/>
        </w:rPr>
        <w:t xml:space="preserve"> </w:t>
      </w:r>
      <w:proofErr w:type="spellStart"/>
      <w:r w:rsidRPr="003B6776">
        <w:rPr>
          <w:b/>
          <w:bCs/>
          <w:color w:val="1C6194" w:themeColor="accent6" w:themeShade="BF"/>
          <w:lang w:val="fr-FR"/>
        </w:rPr>
        <w:t>termice</w:t>
      </w:r>
      <w:proofErr w:type="spellEnd"/>
      <w:r w:rsidRPr="003B6776">
        <w:rPr>
          <w:b/>
          <w:bCs/>
          <w:color w:val="1C6194" w:themeColor="accent6" w:themeShade="BF"/>
          <w:lang w:val="fr-FR"/>
        </w:rPr>
        <w:t xml:space="preserve">) </w:t>
      </w:r>
      <w:proofErr w:type="spellStart"/>
      <w:r w:rsidR="00AC05D3" w:rsidRPr="003B6776">
        <w:rPr>
          <w:b/>
          <w:bCs/>
          <w:color w:val="1C6194" w:themeColor="accent6" w:themeShade="BF"/>
          <w:lang w:val="fr-FR"/>
        </w:rPr>
        <w:t>minim</w:t>
      </w:r>
      <w:proofErr w:type="spellEnd"/>
      <w:r w:rsidR="00AC05D3" w:rsidRPr="003B6776">
        <w:rPr>
          <w:b/>
          <w:bCs/>
          <w:color w:val="1C6194" w:themeColor="accent6" w:themeShade="BF"/>
          <w:lang w:val="fr-FR"/>
        </w:rPr>
        <w:t xml:space="preserve"> </w:t>
      </w:r>
      <w:proofErr w:type="spellStart"/>
      <w:r w:rsidR="00AC05D3" w:rsidRPr="003B6776">
        <w:rPr>
          <w:b/>
          <w:bCs/>
          <w:color w:val="1C6194" w:themeColor="accent6" w:themeShade="BF"/>
          <w:lang w:val="fr-FR"/>
        </w:rPr>
        <w:t>echivalent</w:t>
      </w:r>
      <w:proofErr w:type="spellEnd"/>
      <w:r w:rsidR="00AC05D3" w:rsidRPr="003B6776">
        <w:rPr>
          <w:b/>
          <w:bCs/>
          <w:color w:val="1C6194" w:themeColor="accent6" w:themeShade="BF"/>
          <w:lang w:val="fr-FR"/>
        </w:rPr>
        <w:t xml:space="preserve"> al </w:t>
      </w:r>
      <w:proofErr w:type="spellStart"/>
      <w:r w:rsidR="00AC05D3" w:rsidRPr="003B6776">
        <w:rPr>
          <w:b/>
          <w:bCs/>
          <w:color w:val="1C6194" w:themeColor="accent6" w:themeShade="BF"/>
          <w:lang w:val="fr-FR"/>
        </w:rPr>
        <w:t>capacității</w:t>
      </w:r>
      <w:proofErr w:type="spellEnd"/>
      <w:r w:rsidR="00AC05D3" w:rsidRPr="003B6776">
        <w:rPr>
          <w:b/>
          <w:bCs/>
          <w:color w:val="1C6194" w:themeColor="accent6" w:themeShade="BF"/>
          <w:lang w:val="fr-FR"/>
        </w:rPr>
        <w:t xml:space="preserve"> </w:t>
      </w:r>
      <w:proofErr w:type="spellStart"/>
      <w:r w:rsidR="00AC05D3" w:rsidRPr="003B6776">
        <w:rPr>
          <w:b/>
          <w:bCs/>
          <w:color w:val="1C6194" w:themeColor="accent6" w:themeShade="BF"/>
          <w:lang w:val="fr-FR"/>
        </w:rPr>
        <w:t>instalate</w:t>
      </w:r>
      <w:proofErr w:type="spellEnd"/>
      <w:r w:rsidR="00AC05D3" w:rsidRPr="003B6776">
        <w:rPr>
          <w:b/>
          <w:bCs/>
          <w:color w:val="1C6194" w:themeColor="accent6" w:themeShade="BF"/>
          <w:lang w:val="fr-FR"/>
        </w:rPr>
        <w:t xml:space="preserve"> la </w:t>
      </w:r>
      <w:proofErr w:type="spellStart"/>
      <w:r w:rsidR="00AC05D3" w:rsidRPr="003B6776">
        <w:rPr>
          <w:b/>
          <w:bCs/>
          <w:color w:val="1C6194" w:themeColor="accent6" w:themeShade="BF"/>
          <w:lang w:val="fr-FR"/>
        </w:rPr>
        <w:t>nivelul</w:t>
      </w:r>
      <w:proofErr w:type="spellEnd"/>
      <w:r w:rsidR="00AC05D3" w:rsidRPr="003B6776">
        <w:rPr>
          <w:b/>
          <w:bCs/>
          <w:color w:val="1C6194" w:themeColor="accent6" w:themeShade="BF"/>
          <w:lang w:val="fr-FR"/>
        </w:rPr>
        <w:t xml:space="preserve"> </w:t>
      </w:r>
      <w:proofErr w:type="spellStart"/>
      <w:r w:rsidR="00AC05D3" w:rsidRPr="003B6776">
        <w:rPr>
          <w:b/>
          <w:bCs/>
          <w:color w:val="1C6194" w:themeColor="accent6" w:themeShade="BF"/>
          <w:lang w:val="fr-FR"/>
        </w:rPr>
        <w:t>locației</w:t>
      </w:r>
      <w:proofErr w:type="spellEnd"/>
      <w:r w:rsidR="00AC05D3" w:rsidRPr="003B6776">
        <w:rPr>
          <w:b/>
          <w:bCs/>
          <w:color w:val="1C6194" w:themeColor="accent6" w:themeShade="BF"/>
          <w:lang w:val="fr-FR"/>
        </w:rPr>
        <w:t>.</w:t>
      </w:r>
    </w:p>
    <w:p w14:paraId="69113594" w14:textId="77777777" w:rsidR="00A657B7" w:rsidRPr="00BF6B67" w:rsidRDefault="00A657B7">
      <w:pPr>
        <w:spacing w:before="0" w:after="0"/>
        <w:rPr>
          <w:highlight w:val="yellow"/>
        </w:rPr>
      </w:pPr>
    </w:p>
    <w:p w14:paraId="544167A0" w14:textId="77777777" w:rsidR="00A657B7" w:rsidRPr="00AC05D3" w:rsidRDefault="00245051">
      <w:r w:rsidRPr="00AC05D3">
        <w:rPr>
          <w:b/>
          <w:bCs/>
          <w:color w:val="000000"/>
        </w:rPr>
        <w:t>Activitățile de tip C</w:t>
      </w:r>
      <w:r w:rsidRPr="00AC05D3">
        <w:rPr>
          <w:color w:val="000000"/>
        </w:rPr>
        <w:t xml:space="preserve"> presupun investii care conduc la realizarea unor noi capacitați de stocare a energiei:</w:t>
      </w:r>
    </w:p>
    <w:p w14:paraId="6C313E70" w14:textId="0A185949" w:rsidR="00A657B7" w:rsidRPr="00AC05D3" w:rsidRDefault="00245051">
      <w:r w:rsidRPr="00AC05D3">
        <w:rPr>
          <w:color w:val="000000"/>
        </w:rPr>
        <w:t xml:space="preserve">a) realizarea de unități de stocare de energie termică și electrică din surse regenerabile destinate consumului propriu al </w:t>
      </w:r>
      <w:r w:rsidR="00505CE9" w:rsidRPr="00AC05D3">
        <w:rPr>
          <w:color w:val="000000"/>
        </w:rPr>
        <w:t>clădirii cuprinse în proiect, dimensionate cel puțin echivalentul capacității instalate prin proiect pentru locația respectivă</w:t>
      </w:r>
      <w:r w:rsidRPr="00AC05D3">
        <w:rPr>
          <w:color w:val="000000"/>
        </w:rPr>
        <w:t>;</w:t>
      </w:r>
    </w:p>
    <w:p w14:paraId="38353C4F" w14:textId="0BAA9A16" w:rsidR="00A657B7" w:rsidRPr="00AC05D3" w:rsidRDefault="00245051">
      <w:r w:rsidRPr="00AC05D3">
        <w:rPr>
          <w:color w:val="000000"/>
        </w:rPr>
        <w:t xml:space="preserve">b) </w:t>
      </w:r>
      <w:r w:rsidR="00AC05D3" w:rsidRPr="00AC05D3">
        <w:rPr>
          <w:color w:val="000000"/>
        </w:rPr>
        <w:t>r</w:t>
      </w:r>
      <w:r w:rsidRPr="00AC05D3">
        <w:rPr>
          <w:color w:val="000000"/>
        </w:rPr>
        <w:t xml:space="preserve">ealizarea rețelelor </w:t>
      </w:r>
      <w:r w:rsidR="00630630">
        <w:rPr>
          <w:color w:val="000000"/>
        </w:rPr>
        <w:t xml:space="preserve">pentru </w:t>
      </w:r>
      <w:r w:rsidR="00630630" w:rsidRPr="00630630">
        <w:rPr>
          <w:color w:val="000000"/>
        </w:rPr>
        <w:t xml:space="preserve">racordare la SEN/ </w:t>
      </w:r>
      <w:r w:rsidR="00D725FE">
        <w:rPr>
          <w:color w:val="000000"/>
        </w:rPr>
        <w:t>transportul energiei termice</w:t>
      </w:r>
      <w:r w:rsidR="00630630" w:rsidRPr="00630630">
        <w:rPr>
          <w:color w:val="000000"/>
        </w:rPr>
        <w:t xml:space="preserve"> între punctul de producție și punctul de consum sau stocare pentru consumul propriu al clădirilor din proiect.</w:t>
      </w:r>
    </w:p>
    <w:p w14:paraId="6D5772A5" w14:textId="16952E57" w:rsidR="00A657B7" w:rsidRDefault="00245051">
      <w:pPr>
        <w:rPr>
          <w:color w:val="000000"/>
        </w:rPr>
      </w:pPr>
      <w:r w:rsidRPr="00AC05D3">
        <w:rPr>
          <w:color w:val="000000"/>
        </w:rPr>
        <w:t xml:space="preserve"> c) realizarea de unități de stocare, de echipamente, utilaje, tehnologii, </w:t>
      </w:r>
      <w:r w:rsidR="00AC05D3" w:rsidRPr="00AC05D3">
        <w:rPr>
          <w:color w:val="000000"/>
        </w:rPr>
        <w:t xml:space="preserve">kituri de montaj, </w:t>
      </w:r>
      <w:r w:rsidRPr="00AC05D3">
        <w:rPr>
          <w:color w:val="000000"/>
        </w:rPr>
        <w:t>dotări specifice pentru obținerea de capacitați de producere si stocarea acestora</w:t>
      </w:r>
      <w:r w:rsidR="00AC05D3" w:rsidRPr="00AC05D3">
        <w:rPr>
          <w:color w:val="000000"/>
        </w:rPr>
        <w:t>.</w:t>
      </w:r>
      <w:r w:rsidRPr="00AC05D3">
        <w:rPr>
          <w:color w:val="000000"/>
        </w:rPr>
        <w:t xml:space="preserve"> </w:t>
      </w:r>
    </w:p>
    <w:p w14:paraId="7909D635" w14:textId="77777777" w:rsidR="00630630" w:rsidRDefault="00630630">
      <w:pPr>
        <w:rPr>
          <w:color w:val="000000"/>
        </w:rPr>
      </w:pPr>
    </w:p>
    <w:p w14:paraId="016B01F2" w14:textId="77777777" w:rsidR="00630630" w:rsidRPr="00AC05D3" w:rsidRDefault="00630630"/>
    <w:p w14:paraId="17FFFF27" w14:textId="77777777" w:rsidR="00A657B7" w:rsidRPr="00BF6B67" w:rsidRDefault="00A657B7">
      <w:pPr>
        <w:rPr>
          <w:highlight w:val="yellow"/>
        </w:rPr>
      </w:pPr>
    </w:p>
    <w:p w14:paraId="52EC4439" w14:textId="77777777" w:rsidR="00A657B7" w:rsidRPr="003B6776" w:rsidRDefault="00245051">
      <w:pPr>
        <w:ind w:left="0"/>
        <w:rPr>
          <w:b/>
          <w:color w:val="1C6194" w:themeColor="accent6" w:themeShade="BF"/>
        </w:rPr>
      </w:pPr>
      <w:r w:rsidRPr="003B6776">
        <w:rPr>
          <w:b/>
          <w:color w:val="1C6194" w:themeColor="accent6" w:themeShade="BF"/>
        </w:rPr>
        <w:t>ATENȚIE!</w:t>
      </w:r>
    </w:p>
    <w:p w14:paraId="4D021C5E" w14:textId="42B1C85F" w:rsidR="00A657B7" w:rsidRPr="003B6776" w:rsidRDefault="00245051">
      <w:pPr>
        <w:ind w:left="0"/>
        <w:rPr>
          <w:color w:val="000000"/>
        </w:rPr>
      </w:pPr>
      <w:r w:rsidRPr="003B6776">
        <w:rPr>
          <w:b/>
          <w:color w:val="000000"/>
        </w:rPr>
        <w:t>Proiectele pot cuprinde măsuri privind producția de energie din RES pentru unul sau mai multe imobile</w:t>
      </w:r>
      <w:r w:rsidR="00A12FC4" w:rsidRPr="003B6776">
        <w:rPr>
          <w:b/>
          <w:color w:val="000000"/>
        </w:rPr>
        <w:t>.</w:t>
      </w:r>
    </w:p>
    <w:p w14:paraId="6DFD10AC" w14:textId="63B58378" w:rsidR="00A657B7" w:rsidRPr="003B6776" w:rsidRDefault="00245051">
      <w:pPr>
        <w:ind w:left="0"/>
        <w:rPr>
          <w:lang w:val="en-US"/>
        </w:rPr>
      </w:pPr>
      <w:r w:rsidRPr="003B6776">
        <w:rPr>
          <w:color w:val="000000"/>
        </w:rPr>
        <w:lastRenderedPageBreak/>
        <w:t xml:space="preserve">Pentru a îndeplini condițiile de eligibilitate se impune ca aceste activități să fie corelate cu cel puțin una din activitățile menționate şi descrise la punctele A, B. </w:t>
      </w:r>
      <w:r w:rsidR="00A12FC4" w:rsidRPr="003B6776">
        <w:rPr>
          <w:color w:val="000000"/>
        </w:rPr>
        <w:t>A</w:t>
      </w:r>
      <w:r w:rsidRPr="003B6776">
        <w:rPr>
          <w:color w:val="000000"/>
        </w:rPr>
        <w:t>ctivitățile de la punctul C sunt eligibile</w:t>
      </w:r>
      <w:r w:rsidR="00A12FC4" w:rsidRPr="003B6776">
        <w:rPr>
          <w:color w:val="000000"/>
        </w:rPr>
        <w:t xml:space="preserve"> doar în impreună cu una dintre activitățile A sau B</w:t>
      </w:r>
      <w:r w:rsidRPr="003B6776">
        <w:rPr>
          <w:color w:val="000000"/>
        </w:rPr>
        <w:t>!</w:t>
      </w:r>
    </w:p>
    <w:p w14:paraId="207594D1" w14:textId="1E5E5A56" w:rsidR="00A657B7" w:rsidRPr="003B6776" w:rsidRDefault="00245051">
      <w:pPr>
        <w:ind w:left="0"/>
        <w:rPr>
          <w:lang w:val="en-US"/>
        </w:rPr>
      </w:pPr>
      <w:r w:rsidRPr="003B6776">
        <w:rPr>
          <w:color w:val="000000"/>
        </w:rPr>
        <w:t>Nu sunt eligibile cheltuielile cu realizarea rețelelor de distribuție a energiei  în afara celor menționate mai sus</w:t>
      </w:r>
      <w:r w:rsidR="00505CE9" w:rsidRPr="003B6776">
        <w:rPr>
          <w:color w:val="000000"/>
        </w:rPr>
        <w:t xml:space="preserve">, respectiv fracția de rețea care se consideră absolut necesară pentru conectarea punctului de producție, de consum </w:t>
      </w:r>
      <w:r w:rsidR="00630630">
        <w:rPr>
          <w:color w:val="000000"/>
        </w:rPr>
        <w:t>ș</w:t>
      </w:r>
      <w:r w:rsidR="00505CE9" w:rsidRPr="003B6776">
        <w:rPr>
          <w:color w:val="000000"/>
        </w:rPr>
        <w:t>i bateria de stocare, în limite rezonabile necesare funcționării.</w:t>
      </w:r>
    </w:p>
    <w:p w14:paraId="59DAD2FE" w14:textId="05872C21" w:rsidR="00A657B7" w:rsidRDefault="00245051">
      <w:pPr>
        <w:ind w:left="0"/>
        <w:rPr>
          <w:lang w:val="en-US"/>
        </w:rPr>
      </w:pPr>
      <w:r w:rsidRPr="003B6776">
        <w:rPr>
          <w:b/>
          <w:bCs/>
          <w:color w:val="000000"/>
        </w:rPr>
        <w:t>Nu sunt eligibile investițiile in utilizarea biomasei si a combustibililor fosili</w:t>
      </w:r>
      <w:r w:rsidR="003B6776" w:rsidRPr="003B6776">
        <w:rPr>
          <w:b/>
          <w:bCs/>
          <w:color w:val="000000"/>
        </w:rPr>
        <w:t>.</w:t>
      </w:r>
    </w:p>
    <w:p w14:paraId="3ADD3589" w14:textId="77777777" w:rsidR="00A657B7" w:rsidRDefault="00A657B7">
      <w:pPr>
        <w:ind w:left="0"/>
      </w:pPr>
    </w:p>
    <w:p w14:paraId="535BABC0" w14:textId="32E81F9A" w:rsidR="00A657B7" w:rsidRPr="003B6776" w:rsidRDefault="00245051">
      <w:pPr>
        <w:ind w:left="0"/>
        <w:rPr>
          <w:b/>
          <w:bCs/>
          <w:color w:val="1C6194" w:themeColor="accent6" w:themeShade="BF"/>
        </w:rPr>
      </w:pPr>
      <w:r w:rsidRPr="003B6776">
        <w:rPr>
          <w:b/>
          <w:bCs/>
          <w:color w:val="1C6194" w:themeColor="accent6" w:themeShade="BF"/>
        </w:rPr>
        <w:t>II</w:t>
      </w:r>
      <w:r w:rsidR="003B6776">
        <w:rPr>
          <w:b/>
          <w:bCs/>
          <w:color w:val="1C6194" w:themeColor="accent6" w:themeShade="BF"/>
        </w:rPr>
        <w:t>.</w:t>
      </w:r>
      <w:r w:rsidRPr="003B6776">
        <w:rPr>
          <w:b/>
          <w:bCs/>
          <w:color w:val="1C6194" w:themeColor="accent6" w:themeShade="BF"/>
        </w:rPr>
        <w:t xml:space="preserve"> ACTIVITĂȚI CONEXE</w:t>
      </w:r>
      <w:r w:rsidR="00E405D2" w:rsidRPr="003B6776">
        <w:rPr>
          <w:b/>
          <w:bCs/>
          <w:color w:val="1C6194" w:themeColor="accent6" w:themeShade="BF"/>
        </w:rPr>
        <w:t xml:space="preserve"> </w:t>
      </w:r>
      <w:r w:rsidR="00E405D2">
        <w:rPr>
          <w:b/>
          <w:bCs/>
          <w:color w:val="1C6194" w:themeColor="accent6" w:themeShade="BF"/>
        </w:rPr>
        <w:t xml:space="preserve">ASIMILATE </w:t>
      </w:r>
      <w:r w:rsidRPr="003B6776">
        <w:rPr>
          <w:b/>
          <w:bCs/>
          <w:color w:val="1C6194" w:themeColor="accent6" w:themeShade="BF"/>
        </w:rPr>
        <w:t>ACTIVITĂȚII DE BAZĂ</w:t>
      </w:r>
    </w:p>
    <w:p w14:paraId="2F27AFD8" w14:textId="028BBE88" w:rsidR="003B6776" w:rsidRDefault="003B6776">
      <w:pPr>
        <w:ind w:left="0"/>
      </w:pPr>
      <w:r w:rsidRPr="003B6776">
        <w:t>•</w:t>
      </w:r>
      <w:r w:rsidRPr="003B6776">
        <w:tab/>
        <w:t>Instalarea de sistem de management al energiei (EMS - Energy Management System) și alte sistemele IT/ automatizări în vederea optimizării producției și consumurilor la nivelul locurilor de consum acoperite de prezentul apel</w:t>
      </w:r>
      <w:r w:rsidR="00C6278D">
        <w:t>, gestinării fluxurilor de energie</w:t>
      </w:r>
      <w:r w:rsidRPr="003B6776">
        <w:t>.</w:t>
      </w:r>
    </w:p>
    <w:p w14:paraId="17B87E8A" w14:textId="0DB4DCB7" w:rsidR="00C6278D" w:rsidRDefault="00C6278D">
      <w:pPr>
        <w:pStyle w:val="ListParagraph"/>
        <w:numPr>
          <w:ilvl w:val="0"/>
          <w:numId w:val="55"/>
        </w:numPr>
      </w:pPr>
      <w:r>
        <w:t>Realizarea kiturilor de montaj sau alte instalații imperativ necesare operaționalizării investiției</w:t>
      </w:r>
    </w:p>
    <w:p w14:paraId="0950A0BA" w14:textId="20459337" w:rsidR="003B6776" w:rsidRDefault="003B6776">
      <w:pPr>
        <w:ind w:left="0"/>
      </w:pPr>
      <w:r w:rsidRPr="003B6776">
        <w:t>•</w:t>
      </w:r>
      <w:r w:rsidRPr="003B6776">
        <w:tab/>
        <w:t xml:space="preserve">Cheltuieli cu campanii  de informare </w:t>
      </w:r>
      <w:r w:rsidR="00C6278D">
        <w:t xml:space="preserve">și asistență </w:t>
      </w:r>
      <w:r w:rsidRPr="003B6776">
        <w:t>cu privire la crearea și funcționarea comunității</w:t>
      </w:r>
      <w:r w:rsidR="00E405D2">
        <w:t xml:space="preserve"> de energie regenerabilă</w:t>
      </w:r>
      <w:r w:rsidRPr="003B6776">
        <w:t>, în contextul obiectivelor proiectului</w:t>
      </w:r>
      <w:r w:rsidR="00E405D2">
        <w:t>.</w:t>
      </w:r>
    </w:p>
    <w:p w14:paraId="7ED8BC90" w14:textId="0E112819" w:rsidR="00A657B7" w:rsidRDefault="00A657B7">
      <w:pPr>
        <w:ind w:left="0"/>
      </w:pPr>
    </w:p>
    <w:tbl>
      <w:tblPr>
        <w:tblStyle w:val="TableGrid18"/>
        <w:tblW w:w="9958" w:type="dxa"/>
        <w:tblInd w:w="92" w:type="dxa"/>
        <w:tblLayout w:type="fixed"/>
        <w:tblLook w:val="04A0" w:firstRow="1" w:lastRow="0" w:firstColumn="1" w:lastColumn="0" w:noHBand="0" w:noVBand="1"/>
      </w:tblPr>
      <w:tblGrid>
        <w:gridCol w:w="9958"/>
      </w:tblGrid>
      <w:tr w:rsidR="00A657B7" w14:paraId="5ECBC355" w14:textId="77777777">
        <w:trPr>
          <w:trHeight w:val="493"/>
        </w:trPr>
        <w:tc>
          <w:tcPr>
            <w:tcW w:w="9958" w:type="dxa"/>
            <w:tcBorders>
              <w:top w:val="single" w:sz="12" w:space="0" w:color="0070C0"/>
              <w:left w:val="single" w:sz="12" w:space="0" w:color="0070C0"/>
              <w:bottom w:val="single" w:sz="12" w:space="0" w:color="0070C0"/>
              <w:right w:val="single" w:sz="12" w:space="0" w:color="0070C0"/>
            </w:tcBorders>
            <w:shd w:val="clear" w:color="auto" w:fill="DDF0F2" w:themeFill="accent2" w:themeFillTint="33"/>
          </w:tcPr>
          <w:p w14:paraId="5BC6DC05" w14:textId="77777777" w:rsidR="00A657B7" w:rsidRPr="009555F2" w:rsidRDefault="00245051">
            <w:pPr>
              <w:widowControl w:val="0"/>
              <w:spacing w:before="0" w:after="0"/>
              <w:ind w:left="0"/>
              <w:rPr>
                <w:b/>
                <w:bCs/>
                <w:sz w:val="22"/>
                <w:szCs w:val="22"/>
              </w:rPr>
            </w:pPr>
            <w:proofErr w:type="spellStart"/>
            <w:proofErr w:type="gramStart"/>
            <w:r w:rsidRPr="009555F2">
              <w:rPr>
                <w:rFonts w:eastAsia="Times New Roman"/>
                <w:b/>
                <w:bCs/>
                <w:sz w:val="22"/>
                <w:szCs w:val="22"/>
              </w:rPr>
              <w:t>Atentie</w:t>
            </w:r>
            <w:proofErr w:type="spellEnd"/>
            <w:r w:rsidRPr="009555F2">
              <w:rPr>
                <w:rFonts w:eastAsia="Times New Roman"/>
                <w:b/>
                <w:bCs/>
                <w:sz w:val="22"/>
                <w:szCs w:val="22"/>
              </w:rPr>
              <w:t xml:space="preserve"> !</w:t>
            </w:r>
            <w:proofErr w:type="gramEnd"/>
            <w:r w:rsidRPr="009555F2">
              <w:rPr>
                <w:rFonts w:eastAsia="Times New Roman"/>
                <w:b/>
                <w:bCs/>
                <w:sz w:val="22"/>
                <w:szCs w:val="22"/>
              </w:rPr>
              <w:t xml:space="preserve"> </w:t>
            </w:r>
          </w:p>
          <w:p w14:paraId="76F38175" w14:textId="77777777" w:rsidR="00A657B7" w:rsidRPr="009555F2" w:rsidRDefault="00A657B7">
            <w:pPr>
              <w:widowControl w:val="0"/>
              <w:spacing w:before="0" w:after="0"/>
              <w:contextualSpacing/>
              <w:rPr>
                <w:sz w:val="22"/>
                <w:szCs w:val="22"/>
              </w:rPr>
            </w:pPr>
          </w:p>
          <w:p w14:paraId="76BA56F1" w14:textId="73622D22" w:rsidR="00A657B7" w:rsidRPr="009555F2" w:rsidRDefault="00245051">
            <w:pPr>
              <w:widowControl w:val="0"/>
              <w:spacing w:before="0" w:after="0"/>
              <w:ind w:left="0"/>
              <w:rPr>
                <w:b/>
                <w:bCs/>
                <w:i/>
                <w:sz w:val="22"/>
                <w:szCs w:val="22"/>
              </w:rPr>
            </w:pPr>
            <w:bookmarkStart w:id="135" w:name="_Hlk112340145"/>
            <w:bookmarkStart w:id="136" w:name="_Hlk115783776"/>
            <w:bookmarkEnd w:id="135"/>
            <w:r w:rsidRPr="009555F2">
              <w:rPr>
                <w:rFonts w:eastAsia="Times New Roman"/>
                <w:b/>
                <w:bCs/>
                <w:i/>
                <w:sz w:val="22"/>
                <w:szCs w:val="22"/>
              </w:rPr>
              <w:t xml:space="preserve">Prin </w:t>
            </w:r>
            <w:proofErr w:type="spellStart"/>
            <w:r w:rsidRPr="009555F2">
              <w:rPr>
                <w:rFonts w:eastAsia="Times New Roman"/>
                <w:b/>
                <w:bCs/>
                <w:i/>
                <w:sz w:val="22"/>
                <w:szCs w:val="22"/>
              </w:rPr>
              <w:t>consum</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propriu</w:t>
            </w:r>
            <w:proofErr w:type="spellEnd"/>
            <w:r w:rsidRPr="009555F2">
              <w:rPr>
                <w:rFonts w:eastAsia="Times New Roman"/>
                <w:b/>
                <w:bCs/>
                <w:i/>
                <w:sz w:val="22"/>
                <w:szCs w:val="22"/>
              </w:rPr>
              <w:t xml:space="preserve"> se </w:t>
            </w:r>
            <w:proofErr w:type="spellStart"/>
            <w:r w:rsidRPr="009555F2">
              <w:rPr>
                <w:rFonts w:eastAsia="Times New Roman"/>
                <w:b/>
                <w:bCs/>
                <w:i/>
                <w:sz w:val="22"/>
                <w:szCs w:val="22"/>
              </w:rPr>
              <w:t>înțelege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consumul</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aferent</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clădirilor</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publice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deținute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și</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ocupate</w:t>
            </w:r>
            <w:proofErr w:type="spellEnd"/>
            <w:r w:rsidRPr="009555F2">
              <w:rPr>
                <w:rFonts w:eastAsia="Times New Roman"/>
                <w:b/>
                <w:bCs/>
                <w:i/>
                <w:sz w:val="22"/>
                <w:szCs w:val="22"/>
              </w:rPr>
              <w:t xml:space="preserve"> de </w:t>
            </w:r>
            <w:proofErr w:type="spellStart"/>
            <w:r w:rsidRPr="009555F2">
              <w:rPr>
                <w:rFonts w:eastAsia="Times New Roman"/>
                <w:b/>
                <w:bCs/>
                <w:i/>
                <w:sz w:val="22"/>
                <w:szCs w:val="22"/>
              </w:rPr>
              <w:t>autoritățile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și</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instituțiile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publice</w:t>
            </w:r>
            <w:proofErr w:type="spellEnd"/>
            <w:r w:rsidRPr="009555F2">
              <w:rPr>
                <w:rFonts w:eastAsia="Times New Roman"/>
                <w:b/>
                <w:bCs/>
                <w:i/>
                <w:sz w:val="22"/>
                <w:szCs w:val="22"/>
              </w:rPr>
              <w:t xml:space="preserve"> locale, </w:t>
            </w:r>
            <w:proofErr w:type="spellStart"/>
            <w:r w:rsidRPr="009555F2">
              <w:rPr>
                <w:rFonts w:eastAsia="Times New Roman"/>
                <w:b/>
                <w:bCs/>
                <w:i/>
                <w:sz w:val="22"/>
                <w:szCs w:val="22"/>
              </w:rPr>
              <w:t>și</w:t>
            </w:r>
            <w:proofErr w:type="spellEnd"/>
            <w:r w:rsidRPr="009555F2">
              <w:rPr>
                <w:rFonts w:eastAsia="Times New Roman"/>
                <w:b/>
                <w:bCs/>
                <w:i/>
                <w:sz w:val="22"/>
                <w:szCs w:val="22"/>
              </w:rPr>
              <w:t>/</w:t>
            </w:r>
            <w:proofErr w:type="spellStart"/>
            <w:r w:rsidRPr="009555F2">
              <w:rPr>
                <w:rFonts w:eastAsia="Times New Roman"/>
                <w:b/>
                <w:bCs/>
                <w:i/>
                <w:sz w:val="22"/>
                <w:szCs w:val="22"/>
              </w:rPr>
              <w:t>sau</w:t>
            </w:r>
            <w:proofErr w:type="spellEnd"/>
            <w:r w:rsidRPr="009555F2">
              <w:rPr>
                <w:rFonts w:eastAsia="Times New Roman"/>
                <w:sz w:val="22"/>
                <w:szCs w:val="22"/>
              </w:rPr>
              <w:t xml:space="preserve"> </w:t>
            </w:r>
            <w:proofErr w:type="spellStart"/>
            <w:r w:rsidRPr="009555F2">
              <w:rPr>
                <w:rFonts w:eastAsia="Times New Roman"/>
                <w:b/>
                <w:bCs/>
                <w:i/>
                <w:sz w:val="22"/>
                <w:szCs w:val="22"/>
              </w:rPr>
              <w:t>servicii</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publice</w:t>
            </w:r>
            <w:proofErr w:type="spellEnd"/>
            <w:r w:rsidRPr="009555F2">
              <w:rPr>
                <w:rFonts w:eastAsia="Times New Roman"/>
                <w:b/>
                <w:bCs/>
                <w:i/>
                <w:sz w:val="22"/>
                <w:szCs w:val="22"/>
              </w:rPr>
              <w:t xml:space="preserve"> din </w:t>
            </w:r>
            <w:proofErr w:type="spellStart"/>
            <w:r w:rsidRPr="009555F2">
              <w:rPr>
                <w:rFonts w:eastAsia="Times New Roman"/>
                <w:b/>
                <w:bCs/>
                <w:i/>
                <w:sz w:val="22"/>
                <w:szCs w:val="22"/>
              </w:rPr>
              <w:t>subordine</w:t>
            </w:r>
            <w:bookmarkEnd w:id="136"/>
            <w:proofErr w:type="spellEnd"/>
            <w:r w:rsidR="00E405D2" w:rsidRPr="009555F2">
              <w:rPr>
                <w:rFonts w:eastAsia="Times New Roman"/>
                <w:b/>
                <w:bCs/>
                <w:i/>
                <w:sz w:val="22"/>
                <w:szCs w:val="22"/>
              </w:rPr>
              <w:t xml:space="preserve">, precum </w:t>
            </w:r>
            <w:proofErr w:type="spellStart"/>
            <w:proofErr w:type="gramStart"/>
            <w:r w:rsidR="00E405D2" w:rsidRPr="009555F2">
              <w:rPr>
                <w:rFonts w:eastAsia="Times New Roman"/>
                <w:b/>
                <w:bCs/>
                <w:i/>
                <w:sz w:val="22"/>
                <w:szCs w:val="22"/>
              </w:rPr>
              <w:t>și</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consumul</w:t>
            </w:r>
            <w:proofErr w:type="spellEnd"/>
            <w:proofErr w:type="gram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gospodăriilor</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individuale</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ocupate</w:t>
            </w:r>
            <w:proofErr w:type="spellEnd"/>
            <w:r w:rsidR="00E405D2" w:rsidRPr="009555F2">
              <w:rPr>
                <w:rFonts w:eastAsia="Times New Roman"/>
                <w:b/>
                <w:bCs/>
                <w:i/>
                <w:sz w:val="22"/>
                <w:szCs w:val="22"/>
              </w:rPr>
              <w:t xml:space="preserve"> de personae </w:t>
            </w:r>
            <w:proofErr w:type="spellStart"/>
            <w:proofErr w:type="gramStart"/>
            <w:r w:rsidR="00E405D2" w:rsidRPr="009555F2">
              <w:rPr>
                <w:rFonts w:eastAsia="Times New Roman"/>
                <w:b/>
                <w:bCs/>
                <w:i/>
                <w:sz w:val="22"/>
                <w:szCs w:val="22"/>
              </w:rPr>
              <w:t>fizice</w:t>
            </w:r>
            <w:proofErr w:type="spellEnd"/>
            <w:r w:rsidR="00E405D2" w:rsidRPr="009555F2">
              <w:rPr>
                <w:rFonts w:eastAsia="Times New Roman"/>
                <w:b/>
                <w:bCs/>
                <w:i/>
                <w:sz w:val="22"/>
                <w:szCs w:val="22"/>
              </w:rPr>
              <w:t xml:space="preserve"> ,</w:t>
            </w:r>
            <w:proofErr w:type="gramEnd"/>
            <w:r w:rsidR="00E405D2" w:rsidRPr="009555F2">
              <w:rPr>
                <w:rFonts w:eastAsia="Times New Roman"/>
                <w:b/>
                <w:bCs/>
                <w:i/>
                <w:sz w:val="22"/>
                <w:szCs w:val="22"/>
              </w:rPr>
              <w:t xml:space="preserve"> care s-au </w:t>
            </w:r>
            <w:proofErr w:type="spellStart"/>
            <w:r w:rsidR="00E405D2" w:rsidRPr="009555F2">
              <w:rPr>
                <w:rFonts w:eastAsia="Times New Roman"/>
                <w:b/>
                <w:bCs/>
                <w:i/>
                <w:sz w:val="22"/>
                <w:szCs w:val="22"/>
              </w:rPr>
              <w:t>înscris</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în</w:t>
            </w:r>
            <w:proofErr w:type="spellEnd"/>
            <w:r w:rsidR="00E405D2" w:rsidRPr="009555F2">
              <w:rPr>
                <w:rFonts w:eastAsia="Times New Roman"/>
                <w:b/>
                <w:bCs/>
                <w:i/>
                <w:sz w:val="22"/>
                <w:szCs w:val="22"/>
              </w:rPr>
              <w:t xml:space="preserve"> Lista de </w:t>
            </w:r>
            <w:proofErr w:type="spellStart"/>
            <w:proofErr w:type="gramStart"/>
            <w:r w:rsidR="00E405D2" w:rsidRPr="009555F2">
              <w:rPr>
                <w:rFonts w:eastAsia="Times New Roman"/>
                <w:b/>
                <w:bCs/>
                <w:i/>
                <w:sz w:val="22"/>
                <w:szCs w:val="22"/>
              </w:rPr>
              <w:t>angajament</w:t>
            </w:r>
            <w:proofErr w:type="spellEnd"/>
            <w:r w:rsidR="00E405D2" w:rsidRPr="009555F2">
              <w:rPr>
                <w:rFonts w:eastAsia="Times New Roman"/>
                <w:b/>
                <w:bCs/>
                <w:i/>
                <w:sz w:val="22"/>
                <w:szCs w:val="22"/>
              </w:rPr>
              <w:t xml:space="preserve"> ,</w:t>
            </w:r>
            <w:proofErr w:type="gram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în</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vederea</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creării</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comunității</w:t>
            </w:r>
            <w:proofErr w:type="spellEnd"/>
            <w:r w:rsidR="00E405D2" w:rsidRPr="009555F2">
              <w:rPr>
                <w:rFonts w:eastAsia="Times New Roman"/>
                <w:b/>
                <w:bCs/>
                <w:i/>
                <w:sz w:val="22"/>
                <w:szCs w:val="22"/>
              </w:rPr>
              <w:t xml:space="preserve"> de </w:t>
            </w:r>
            <w:proofErr w:type="spellStart"/>
            <w:r w:rsidR="00E405D2" w:rsidRPr="009555F2">
              <w:rPr>
                <w:rFonts w:eastAsia="Times New Roman"/>
                <w:b/>
                <w:bCs/>
                <w:i/>
                <w:sz w:val="22"/>
                <w:szCs w:val="22"/>
              </w:rPr>
              <w:t>energie</w:t>
            </w:r>
            <w:proofErr w:type="spellEnd"/>
            <w:r w:rsidR="00E405D2" w:rsidRPr="009555F2">
              <w:rPr>
                <w:rFonts w:eastAsia="Times New Roman"/>
                <w:b/>
                <w:bCs/>
                <w:i/>
                <w:sz w:val="22"/>
                <w:szCs w:val="22"/>
              </w:rPr>
              <w:t xml:space="preserve"> din </w:t>
            </w:r>
            <w:proofErr w:type="spellStart"/>
            <w:r w:rsidR="00E405D2" w:rsidRPr="009555F2">
              <w:rPr>
                <w:rFonts w:eastAsia="Times New Roman"/>
                <w:b/>
                <w:bCs/>
                <w:i/>
                <w:sz w:val="22"/>
                <w:szCs w:val="22"/>
              </w:rPr>
              <w:t>surse</w:t>
            </w:r>
            <w:proofErr w:type="spellEnd"/>
            <w:r w:rsidR="00E405D2" w:rsidRPr="009555F2">
              <w:rPr>
                <w:rFonts w:eastAsia="Times New Roman"/>
                <w:b/>
                <w:bCs/>
                <w:i/>
                <w:sz w:val="22"/>
                <w:szCs w:val="22"/>
              </w:rPr>
              <w:t xml:space="preserve"> </w:t>
            </w:r>
            <w:proofErr w:type="spellStart"/>
            <w:r w:rsidR="00E405D2" w:rsidRPr="009555F2">
              <w:rPr>
                <w:rFonts w:eastAsia="Times New Roman"/>
                <w:b/>
                <w:bCs/>
                <w:i/>
                <w:sz w:val="22"/>
                <w:szCs w:val="22"/>
              </w:rPr>
              <w:t>regenerabile</w:t>
            </w:r>
            <w:proofErr w:type="spellEnd"/>
            <w:r w:rsidR="00E405D2" w:rsidRPr="009555F2">
              <w:rPr>
                <w:rFonts w:eastAsia="Times New Roman"/>
                <w:b/>
                <w:bCs/>
                <w:i/>
                <w:sz w:val="22"/>
                <w:szCs w:val="22"/>
              </w:rPr>
              <w:t>.</w:t>
            </w:r>
          </w:p>
          <w:p w14:paraId="65A65C0D" w14:textId="77777777" w:rsidR="00A657B7" w:rsidRPr="009555F2" w:rsidRDefault="00A657B7">
            <w:pPr>
              <w:widowControl w:val="0"/>
              <w:spacing w:before="0" w:after="0"/>
              <w:ind w:left="0"/>
              <w:rPr>
                <w:b/>
                <w:bCs/>
                <w:i/>
                <w:sz w:val="22"/>
                <w:szCs w:val="22"/>
              </w:rPr>
            </w:pPr>
          </w:p>
          <w:p w14:paraId="2D3D2522" w14:textId="6C4B23D8" w:rsidR="009555F2" w:rsidRPr="009555F2" w:rsidRDefault="00245051">
            <w:pPr>
              <w:widowControl w:val="0"/>
              <w:spacing w:before="0" w:after="0"/>
              <w:ind w:left="0"/>
              <w:rPr>
                <w:rFonts w:eastAsia="Times New Roman"/>
                <w:b/>
                <w:bCs/>
                <w:i/>
                <w:sz w:val="22"/>
                <w:szCs w:val="22"/>
              </w:rPr>
            </w:pPr>
            <w:proofErr w:type="spellStart"/>
            <w:r w:rsidRPr="009555F2">
              <w:rPr>
                <w:rFonts w:eastAsia="Times New Roman"/>
                <w:b/>
                <w:bCs/>
                <w:i/>
                <w:sz w:val="22"/>
                <w:szCs w:val="22"/>
              </w:rPr>
              <w:t>Capacitățile</w:t>
            </w:r>
            <w:proofErr w:type="spellEnd"/>
            <w:r w:rsidRPr="009555F2">
              <w:rPr>
                <w:rFonts w:eastAsia="Times New Roman"/>
                <w:b/>
                <w:bCs/>
                <w:i/>
                <w:sz w:val="22"/>
                <w:szCs w:val="22"/>
              </w:rPr>
              <w:t xml:space="preserve"> de </w:t>
            </w:r>
            <w:proofErr w:type="spellStart"/>
            <w:r w:rsidRPr="009555F2">
              <w:rPr>
                <w:rFonts w:eastAsia="Times New Roman"/>
                <w:b/>
                <w:bCs/>
                <w:i/>
                <w:sz w:val="22"/>
                <w:szCs w:val="22"/>
              </w:rPr>
              <w:t>producție</w:t>
            </w:r>
            <w:proofErr w:type="spellEnd"/>
            <w:r w:rsidRPr="009555F2">
              <w:rPr>
                <w:rFonts w:eastAsia="Times New Roman"/>
                <w:b/>
                <w:bCs/>
                <w:i/>
                <w:sz w:val="22"/>
                <w:szCs w:val="22"/>
              </w:rPr>
              <w:t xml:space="preserve"> din SRE </w:t>
            </w:r>
            <w:proofErr w:type="spellStart"/>
            <w:r w:rsidRPr="009555F2">
              <w:rPr>
                <w:rFonts w:eastAsia="Times New Roman"/>
                <w:b/>
                <w:bCs/>
                <w:i/>
                <w:sz w:val="22"/>
                <w:szCs w:val="22"/>
              </w:rPr>
              <w:t>și</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stocare</w:t>
            </w:r>
            <w:proofErr w:type="spellEnd"/>
            <w:r w:rsidRPr="009555F2">
              <w:rPr>
                <w:rFonts w:eastAsia="Times New Roman"/>
                <w:b/>
                <w:bCs/>
                <w:i/>
                <w:sz w:val="22"/>
                <w:szCs w:val="22"/>
              </w:rPr>
              <w:t xml:space="preserve"> </w:t>
            </w:r>
            <w:proofErr w:type="gramStart"/>
            <w:r w:rsidRPr="009555F2">
              <w:rPr>
                <w:rFonts w:eastAsia="Times New Roman"/>
                <w:b/>
                <w:bCs/>
                <w:i/>
                <w:sz w:val="22"/>
                <w:szCs w:val="22"/>
              </w:rPr>
              <w:t>a</w:t>
            </w:r>
            <w:proofErr w:type="gramEnd"/>
            <w:r w:rsidRPr="009555F2">
              <w:rPr>
                <w:rFonts w:eastAsia="Times New Roman"/>
                <w:b/>
                <w:bCs/>
                <w:i/>
                <w:sz w:val="22"/>
                <w:szCs w:val="22"/>
              </w:rPr>
              <w:t xml:space="preserve"> </w:t>
            </w:r>
            <w:proofErr w:type="spellStart"/>
            <w:r w:rsidRPr="009555F2">
              <w:rPr>
                <w:rFonts w:eastAsia="Times New Roman"/>
                <w:b/>
                <w:bCs/>
                <w:i/>
                <w:sz w:val="22"/>
                <w:szCs w:val="22"/>
              </w:rPr>
              <w:t>energiei</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produse</w:t>
            </w:r>
            <w:proofErr w:type="spellEnd"/>
            <w:r w:rsidRPr="009555F2">
              <w:rPr>
                <w:rFonts w:eastAsia="Times New Roman"/>
                <w:b/>
                <w:bCs/>
                <w:i/>
                <w:sz w:val="22"/>
                <w:szCs w:val="22"/>
              </w:rPr>
              <w:t xml:space="preserve"> din SRE </w:t>
            </w:r>
            <w:proofErr w:type="spellStart"/>
            <w:r w:rsidRPr="009555F2">
              <w:rPr>
                <w:rFonts w:eastAsia="Times New Roman"/>
                <w:b/>
                <w:bCs/>
                <w:i/>
                <w:sz w:val="22"/>
                <w:szCs w:val="22"/>
              </w:rPr>
              <w:t>pentru</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consum</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propriu</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trebuie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dimensionate</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în</w:t>
            </w:r>
            <w:proofErr w:type="spellEnd"/>
            <w:r w:rsidRPr="009555F2">
              <w:rPr>
                <w:rFonts w:eastAsia="Times New Roman"/>
                <w:b/>
                <w:bCs/>
                <w:i/>
                <w:sz w:val="22"/>
                <w:szCs w:val="22"/>
              </w:rPr>
              <w:t xml:space="preserve"> </w:t>
            </w:r>
            <w:proofErr w:type="spellStart"/>
            <w:r w:rsidRPr="009555F2">
              <w:rPr>
                <w:rFonts w:eastAsia="Times New Roman"/>
                <w:b/>
                <w:bCs/>
                <w:i/>
                <w:sz w:val="22"/>
                <w:szCs w:val="22"/>
              </w:rPr>
              <w:t>conformitate</w:t>
            </w:r>
            <w:proofErr w:type="spellEnd"/>
            <w:r w:rsidRPr="009555F2">
              <w:rPr>
                <w:rFonts w:eastAsia="Times New Roman"/>
                <w:b/>
                <w:bCs/>
                <w:i/>
                <w:sz w:val="22"/>
                <w:szCs w:val="22"/>
              </w:rPr>
              <w:t xml:space="preserve"> cu </w:t>
            </w:r>
            <w:proofErr w:type="spellStart"/>
            <w:r w:rsidR="009555F2" w:rsidRPr="009555F2">
              <w:rPr>
                <w:rFonts w:eastAsia="Times New Roman"/>
                <w:b/>
                <w:bCs/>
                <w:i/>
                <w:sz w:val="22"/>
                <w:szCs w:val="22"/>
              </w:rPr>
              <w:t>analiza</w:t>
            </w:r>
            <w:proofErr w:type="spellEnd"/>
            <w:r w:rsidR="009555F2" w:rsidRPr="009555F2">
              <w:rPr>
                <w:rFonts w:eastAsia="Times New Roman"/>
                <w:b/>
                <w:bCs/>
                <w:i/>
                <w:sz w:val="22"/>
                <w:szCs w:val="22"/>
              </w:rPr>
              <w:t xml:space="preserve"> care </w:t>
            </w:r>
            <w:proofErr w:type="spellStart"/>
            <w:r w:rsidR="009555F2" w:rsidRPr="009555F2">
              <w:rPr>
                <w:rFonts w:eastAsia="Times New Roman"/>
                <w:b/>
                <w:bCs/>
                <w:i/>
                <w:sz w:val="22"/>
                <w:szCs w:val="22"/>
              </w:rPr>
              <w:t>cuprinde</w:t>
            </w:r>
            <w:proofErr w:type="spellEnd"/>
            <w:r w:rsidR="009555F2" w:rsidRPr="009555F2">
              <w:rPr>
                <w:rFonts w:eastAsia="Times New Roman"/>
                <w:b/>
                <w:bCs/>
                <w:i/>
                <w:sz w:val="22"/>
                <w:szCs w:val="22"/>
              </w:rPr>
              <w:t xml:space="preserve"> </w:t>
            </w:r>
            <w:proofErr w:type="spellStart"/>
            <w:r w:rsidR="009555F2" w:rsidRPr="009555F2">
              <w:rPr>
                <w:rFonts w:eastAsia="Times New Roman"/>
                <w:b/>
                <w:bCs/>
                <w:i/>
                <w:sz w:val="22"/>
                <w:szCs w:val="22"/>
              </w:rPr>
              <w:t>necesarul</w:t>
            </w:r>
            <w:proofErr w:type="spellEnd"/>
            <w:r w:rsidR="009555F2" w:rsidRPr="009555F2">
              <w:rPr>
                <w:rFonts w:eastAsia="Times New Roman"/>
                <w:b/>
                <w:bCs/>
                <w:i/>
                <w:sz w:val="22"/>
                <w:szCs w:val="22"/>
              </w:rPr>
              <w:t xml:space="preserve"> de </w:t>
            </w:r>
            <w:proofErr w:type="spellStart"/>
            <w:r w:rsidR="009555F2" w:rsidRPr="009555F2">
              <w:rPr>
                <w:rFonts w:eastAsia="Times New Roman"/>
                <w:b/>
                <w:bCs/>
                <w:i/>
                <w:sz w:val="22"/>
                <w:szCs w:val="22"/>
              </w:rPr>
              <w:t>consum</w:t>
            </w:r>
            <w:proofErr w:type="spellEnd"/>
            <w:r w:rsidR="009555F2" w:rsidRPr="009555F2">
              <w:rPr>
                <w:rFonts w:eastAsia="Times New Roman"/>
                <w:b/>
                <w:bCs/>
                <w:i/>
                <w:sz w:val="22"/>
                <w:szCs w:val="22"/>
              </w:rPr>
              <w:t xml:space="preserve"> </w:t>
            </w:r>
            <w:proofErr w:type="spellStart"/>
            <w:r w:rsidR="009555F2" w:rsidRPr="009555F2">
              <w:rPr>
                <w:rFonts w:eastAsia="Times New Roman"/>
                <w:b/>
                <w:bCs/>
                <w:i/>
                <w:sz w:val="22"/>
                <w:szCs w:val="22"/>
              </w:rPr>
              <w:t>estimat</w:t>
            </w:r>
            <w:proofErr w:type="spellEnd"/>
            <w:r w:rsidR="009555F2" w:rsidRPr="009555F2">
              <w:rPr>
                <w:rFonts w:eastAsia="Times New Roman"/>
                <w:b/>
                <w:bCs/>
                <w:i/>
                <w:sz w:val="22"/>
                <w:szCs w:val="22"/>
              </w:rPr>
              <w:t xml:space="preserve">, conform </w:t>
            </w:r>
            <w:proofErr w:type="spellStart"/>
            <w:r w:rsidR="009555F2" w:rsidRPr="009555F2">
              <w:rPr>
                <w:rFonts w:eastAsia="Times New Roman"/>
                <w:b/>
                <w:bCs/>
                <w:i/>
                <w:sz w:val="22"/>
                <w:szCs w:val="22"/>
              </w:rPr>
              <w:t>mediei</w:t>
            </w:r>
            <w:proofErr w:type="spellEnd"/>
            <w:r w:rsidR="009555F2" w:rsidRPr="009555F2">
              <w:rPr>
                <w:rFonts w:eastAsia="Times New Roman"/>
                <w:b/>
                <w:bCs/>
                <w:i/>
                <w:sz w:val="22"/>
                <w:szCs w:val="22"/>
              </w:rPr>
              <w:t xml:space="preserve"> de </w:t>
            </w:r>
            <w:proofErr w:type="spellStart"/>
            <w:r w:rsidR="009555F2" w:rsidRPr="009555F2">
              <w:rPr>
                <w:rFonts w:eastAsia="Times New Roman"/>
                <w:b/>
                <w:bCs/>
                <w:i/>
                <w:sz w:val="22"/>
                <w:szCs w:val="22"/>
              </w:rPr>
              <w:t>consum</w:t>
            </w:r>
            <w:proofErr w:type="spellEnd"/>
            <w:r w:rsidR="009555F2" w:rsidRPr="009555F2">
              <w:rPr>
                <w:rFonts w:eastAsia="Times New Roman"/>
                <w:b/>
                <w:bCs/>
                <w:i/>
                <w:sz w:val="22"/>
                <w:szCs w:val="22"/>
              </w:rPr>
              <w:t xml:space="preserve"> din </w:t>
            </w:r>
            <w:proofErr w:type="spellStart"/>
            <w:r w:rsidR="009555F2" w:rsidRPr="009555F2">
              <w:rPr>
                <w:rFonts w:eastAsia="Times New Roman"/>
                <w:b/>
                <w:bCs/>
                <w:i/>
                <w:sz w:val="22"/>
                <w:szCs w:val="22"/>
              </w:rPr>
              <w:t>ultimele</w:t>
            </w:r>
            <w:proofErr w:type="spellEnd"/>
            <w:r w:rsidR="009555F2" w:rsidRPr="009555F2">
              <w:rPr>
                <w:rFonts w:eastAsia="Times New Roman"/>
                <w:b/>
                <w:bCs/>
                <w:i/>
                <w:sz w:val="22"/>
                <w:szCs w:val="22"/>
              </w:rPr>
              <w:t xml:space="preserve"> 12 </w:t>
            </w:r>
            <w:proofErr w:type="spellStart"/>
            <w:r w:rsidR="009555F2" w:rsidRPr="009555F2">
              <w:rPr>
                <w:rFonts w:eastAsia="Times New Roman"/>
                <w:b/>
                <w:bCs/>
                <w:i/>
                <w:sz w:val="22"/>
                <w:szCs w:val="22"/>
              </w:rPr>
              <w:t>luni</w:t>
            </w:r>
            <w:proofErr w:type="spellEnd"/>
            <w:r w:rsidR="009555F2" w:rsidRPr="009555F2">
              <w:rPr>
                <w:rFonts w:eastAsia="Times New Roman"/>
                <w:b/>
                <w:bCs/>
                <w:i/>
                <w:sz w:val="22"/>
                <w:szCs w:val="22"/>
              </w:rPr>
              <w:t xml:space="preserve">, </w:t>
            </w:r>
            <w:proofErr w:type="spellStart"/>
            <w:r w:rsidR="009555F2" w:rsidRPr="009555F2">
              <w:rPr>
                <w:rFonts w:eastAsia="Times New Roman"/>
                <w:b/>
                <w:bCs/>
                <w:i/>
                <w:sz w:val="22"/>
                <w:szCs w:val="22"/>
              </w:rPr>
              <w:t>aferente</w:t>
            </w:r>
            <w:proofErr w:type="spellEnd"/>
            <w:r w:rsidR="009555F2" w:rsidRPr="009555F2">
              <w:rPr>
                <w:rFonts w:eastAsia="Times New Roman"/>
                <w:b/>
                <w:bCs/>
                <w:i/>
                <w:sz w:val="22"/>
                <w:szCs w:val="22"/>
              </w:rPr>
              <w:t xml:space="preserve"> </w:t>
            </w:r>
            <w:proofErr w:type="spellStart"/>
            <w:r w:rsidR="009555F2" w:rsidRPr="009555F2">
              <w:rPr>
                <w:rFonts w:eastAsia="Times New Roman"/>
                <w:b/>
                <w:bCs/>
                <w:i/>
                <w:sz w:val="22"/>
                <w:szCs w:val="22"/>
              </w:rPr>
              <w:t>fiecărui</w:t>
            </w:r>
            <w:proofErr w:type="spellEnd"/>
            <w:r w:rsidR="009555F2" w:rsidRPr="009555F2">
              <w:rPr>
                <w:rFonts w:eastAsia="Times New Roman"/>
                <w:b/>
                <w:bCs/>
                <w:i/>
                <w:sz w:val="22"/>
                <w:szCs w:val="22"/>
              </w:rPr>
              <w:t xml:space="preserve"> loc de </w:t>
            </w:r>
            <w:proofErr w:type="spellStart"/>
            <w:r w:rsidR="009555F2" w:rsidRPr="009555F2">
              <w:rPr>
                <w:rFonts w:eastAsia="Times New Roman"/>
                <w:b/>
                <w:bCs/>
                <w:i/>
                <w:sz w:val="22"/>
                <w:szCs w:val="22"/>
              </w:rPr>
              <w:t>consum</w:t>
            </w:r>
            <w:proofErr w:type="spellEnd"/>
            <w:r w:rsidR="009555F2" w:rsidRPr="009555F2">
              <w:rPr>
                <w:rFonts w:eastAsia="Times New Roman"/>
                <w:b/>
                <w:bCs/>
                <w:i/>
                <w:sz w:val="22"/>
                <w:szCs w:val="22"/>
              </w:rPr>
              <w:t xml:space="preserve"> din </w:t>
            </w:r>
            <w:proofErr w:type="spellStart"/>
            <w:r w:rsidR="009555F2" w:rsidRPr="009555F2">
              <w:rPr>
                <w:rFonts w:eastAsia="Times New Roman"/>
                <w:b/>
                <w:bCs/>
                <w:i/>
                <w:sz w:val="22"/>
                <w:szCs w:val="22"/>
              </w:rPr>
              <w:t>proiect</w:t>
            </w:r>
            <w:proofErr w:type="spellEnd"/>
            <w:r w:rsidR="009555F2" w:rsidRPr="009555F2">
              <w:rPr>
                <w:rFonts w:eastAsia="Times New Roman"/>
                <w:b/>
                <w:bCs/>
                <w:i/>
                <w:sz w:val="22"/>
                <w:szCs w:val="22"/>
              </w:rPr>
              <w:t>.</w:t>
            </w:r>
          </w:p>
          <w:p w14:paraId="5BD8A300" w14:textId="77777777" w:rsidR="009555F2" w:rsidRPr="009555F2" w:rsidRDefault="009555F2">
            <w:pPr>
              <w:widowControl w:val="0"/>
              <w:spacing w:before="0" w:after="0"/>
              <w:ind w:left="0"/>
              <w:rPr>
                <w:rFonts w:eastAsia="Times New Roman"/>
                <w:b/>
                <w:bCs/>
                <w:i/>
                <w:sz w:val="22"/>
                <w:szCs w:val="22"/>
              </w:rPr>
            </w:pPr>
          </w:p>
          <w:p w14:paraId="6F9D119D" w14:textId="77777777" w:rsidR="00A657B7" w:rsidRPr="009555F2" w:rsidRDefault="00A657B7">
            <w:pPr>
              <w:widowControl w:val="0"/>
              <w:spacing w:before="0" w:after="0"/>
              <w:ind w:left="0"/>
              <w:rPr>
                <w:sz w:val="22"/>
                <w:szCs w:val="22"/>
              </w:rPr>
            </w:pPr>
          </w:p>
          <w:p w14:paraId="53A79671" w14:textId="29B299A1" w:rsidR="009555F2" w:rsidRPr="009555F2" w:rsidRDefault="00245051">
            <w:pPr>
              <w:widowControl w:val="0"/>
              <w:spacing w:before="0" w:after="0"/>
              <w:ind w:left="0"/>
              <w:rPr>
                <w:rFonts w:eastAsia="Times New Roman"/>
                <w:sz w:val="22"/>
                <w:szCs w:val="22"/>
              </w:rPr>
            </w:pPr>
            <w:proofErr w:type="spellStart"/>
            <w:r w:rsidRPr="009555F2">
              <w:rPr>
                <w:rFonts w:eastAsia="Times New Roman"/>
                <w:sz w:val="22"/>
                <w:szCs w:val="22"/>
              </w:rPr>
              <w:t>În</w:t>
            </w:r>
            <w:proofErr w:type="spellEnd"/>
            <w:r w:rsidRPr="009555F2">
              <w:rPr>
                <w:rFonts w:eastAsia="Times New Roman"/>
                <w:sz w:val="22"/>
                <w:szCs w:val="22"/>
              </w:rPr>
              <w:t xml:space="preserve"> </w:t>
            </w:r>
            <w:proofErr w:type="spellStart"/>
            <w:r w:rsidRPr="009555F2">
              <w:rPr>
                <w:rFonts w:eastAsia="Times New Roman"/>
                <w:sz w:val="22"/>
                <w:szCs w:val="22"/>
              </w:rPr>
              <w:t>temeiul</w:t>
            </w:r>
            <w:proofErr w:type="spellEnd"/>
            <w:r w:rsidRPr="009555F2">
              <w:rPr>
                <w:rFonts w:eastAsia="Times New Roman"/>
                <w:sz w:val="22"/>
                <w:szCs w:val="22"/>
              </w:rPr>
              <w:t xml:space="preserve"> </w:t>
            </w:r>
            <w:proofErr w:type="spellStart"/>
            <w:r w:rsidRPr="009555F2">
              <w:rPr>
                <w:rFonts w:eastAsia="Times New Roman"/>
                <w:sz w:val="22"/>
                <w:szCs w:val="22"/>
              </w:rPr>
              <w:t>prevederilor</w:t>
            </w:r>
            <w:proofErr w:type="spellEnd"/>
            <w:r w:rsidRPr="009555F2">
              <w:rPr>
                <w:rFonts w:eastAsia="Times New Roman"/>
                <w:sz w:val="22"/>
                <w:szCs w:val="22"/>
              </w:rPr>
              <w:t xml:space="preserve"> </w:t>
            </w:r>
            <w:proofErr w:type="spellStart"/>
            <w:r w:rsidRPr="009555F2">
              <w:rPr>
                <w:rFonts w:eastAsia="Times New Roman"/>
                <w:sz w:val="22"/>
                <w:szCs w:val="22"/>
              </w:rPr>
              <w:t>regulamentului</w:t>
            </w:r>
            <w:proofErr w:type="spellEnd"/>
            <w:r w:rsidRPr="009555F2">
              <w:rPr>
                <w:rFonts w:eastAsia="Times New Roman"/>
                <w:sz w:val="22"/>
                <w:szCs w:val="22"/>
              </w:rPr>
              <w:t xml:space="preserve"> (UE) 2019/943 </w:t>
            </w:r>
            <w:proofErr w:type="spellStart"/>
            <w:r w:rsidRPr="009555F2">
              <w:rPr>
                <w:rFonts w:eastAsia="Times New Roman"/>
                <w:sz w:val="22"/>
                <w:szCs w:val="22"/>
              </w:rPr>
              <w:t>privind</w:t>
            </w:r>
            <w:proofErr w:type="spellEnd"/>
            <w:r w:rsidRPr="009555F2">
              <w:rPr>
                <w:rFonts w:eastAsia="Times New Roman"/>
                <w:sz w:val="22"/>
                <w:szCs w:val="22"/>
              </w:rPr>
              <w:t xml:space="preserve"> </w:t>
            </w:r>
            <w:proofErr w:type="spellStart"/>
            <w:r w:rsidRPr="009555F2">
              <w:rPr>
                <w:rFonts w:eastAsia="Times New Roman"/>
                <w:sz w:val="22"/>
                <w:szCs w:val="22"/>
              </w:rPr>
              <w:t>piața</w:t>
            </w:r>
            <w:proofErr w:type="spellEnd"/>
            <w:r w:rsidRPr="009555F2">
              <w:rPr>
                <w:rFonts w:eastAsia="Times New Roman"/>
                <w:sz w:val="22"/>
                <w:szCs w:val="22"/>
              </w:rPr>
              <w:t xml:space="preserve"> </w:t>
            </w:r>
            <w:proofErr w:type="spellStart"/>
            <w:r w:rsidRPr="009555F2">
              <w:rPr>
                <w:rFonts w:eastAsia="Times New Roman"/>
                <w:sz w:val="22"/>
                <w:szCs w:val="22"/>
              </w:rPr>
              <w:t>internă</w:t>
            </w:r>
            <w:proofErr w:type="spellEnd"/>
            <w:r w:rsidRPr="009555F2">
              <w:rPr>
                <w:rFonts w:eastAsia="Times New Roman"/>
                <w:sz w:val="22"/>
                <w:szCs w:val="22"/>
              </w:rPr>
              <w:t xml:space="preserve"> de </w:t>
            </w:r>
            <w:proofErr w:type="spellStart"/>
            <w:r w:rsidRPr="009555F2">
              <w:rPr>
                <w:rFonts w:eastAsia="Times New Roman"/>
                <w:sz w:val="22"/>
                <w:szCs w:val="22"/>
              </w:rPr>
              <w:t>energie</w:t>
            </w:r>
            <w:proofErr w:type="spellEnd"/>
            <w:r w:rsidRPr="009555F2">
              <w:rPr>
                <w:rFonts w:eastAsia="Times New Roman"/>
                <w:sz w:val="22"/>
                <w:szCs w:val="22"/>
              </w:rPr>
              <w:t xml:space="preserve"> </w:t>
            </w:r>
            <w:proofErr w:type="spellStart"/>
            <w:r w:rsidRPr="009555F2">
              <w:rPr>
                <w:rFonts w:eastAsia="Times New Roman"/>
                <w:sz w:val="22"/>
                <w:szCs w:val="22"/>
              </w:rPr>
              <w:t>electrică</w:t>
            </w:r>
            <w:proofErr w:type="spellEnd"/>
            <w:r w:rsidRPr="009555F2">
              <w:rPr>
                <w:rFonts w:eastAsia="Times New Roman"/>
                <w:sz w:val="22"/>
                <w:szCs w:val="22"/>
              </w:rPr>
              <w:t xml:space="preserve">, </w:t>
            </w:r>
            <w:proofErr w:type="spellStart"/>
            <w:r w:rsidRPr="009555F2">
              <w:rPr>
                <w:rFonts w:eastAsia="Times New Roman"/>
                <w:sz w:val="22"/>
                <w:szCs w:val="22"/>
              </w:rPr>
              <w:t>în</w:t>
            </w:r>
            <w:proofErr w:type="spellEnd"/>
            <w:r w:rsidRPr="009555F2">
              <w:rPr>
                <w:rFonts w:eastAsia="Times New Roman"/>
                <w:sz w:val="22"/>
                <w:szCs w:val="22"/>
              </w:rPr>
              <w:t xml:space="preserve"> </w:t>
            </w:r>
            <w:proofErr w:type="spellStart"/>
            <w:r w:rsidRPr="009555F2">
              <w:rPr>
                <w:rFonts w:eastAsia="Times New Roman"/>
                <w:sz w:val="22"/>
                <w:szCs w:val="22"/>
              </w:rPr>
              <w:t>vederea</w:t>
            </w:r>
            <w:proofErr w:type="spellEnd"/>
            <w:r w:rsidRPr="009555F2">
              <w:rPr>
                <w:rFonts w:eastAsia="Times New Roman"/>
                <w:sz w:val="22"/>
                <w:szCs w:val="22"/>
              </w:rPr>
              <w:t xml:space="preserve"> </w:t>
            </w:r>
            <w:proofErr w:type="spellStart"/>
            <w:r w:rsidRPr="009555F2">
              <w:rPr>
                <w:rFonts w:eastAsia="Times New Roman"/>
                <w:sz w:val="22"/>
                <w:szCs w:val="22"/>
              </w:rPr>
              <w:t>păstrării</w:t>
            </w:r>
            <w:proofErr w:type="spellEnd"/>
            <w:r w:rsidRPr="009555F2">
              <w:rPr>
                <w:rFonts w:eastAsia="Times New Roman"/>
                <w:sz w:val="22"/>
                <w:szCs w:val="22"/>
              </w:rPr>
              <w:t xml:space="preserve"> </w:t>
            </w:r>
            <w:proofErr w:type="spellStart"/>
            <w:r w:rsidRPr="009555F2">
              <w:rPr>
                <w:rFonts w:eastAsia="Times New Roman"/>
                <w:sz w:val="22"/>
                <w:szCs w:val="22"/>
              </w:rPr>
              <w:t>unui</w:t>
            </w:r>
            <w:proofErr w:type="spellEnd"/>
            <w:r w:rsidRPr="009555F2">
              <w:rPr>
                <w:rFonts w:eastAsia="Times New Roman"/>
                <w:sz w:val="22"/>
                <w:szCs w:val="22"/>
              </w:rPr>
              <w:t xml:space="preserve"> </w:t>
            </w:r>
            <w:proofErr w:type="spellStart"/>
            <w:r w:rsidRPr="009555F2">
              <w:rPr>
                <w:rFonts w:eastAsia="Times New Roman"/>
                <w:sz w:val="22"/>
                <w:szCs w:val="22"/>
              </w:rPr>
              <w:t>echilibru</w:t>
            </w:r>
            <w:proofErr w:type="spellEnd"/>
            <w:r w:rsidRPr="009555F2">
              <w:rPr>
                <w:rFonts w:eastAsia="Times New Roman"/>
                <w:sz w:val="22"/>
                <w:szCs w:val="22"/>
              </w:rPr>
              <w:t xml:space="preserve"> la </w:t>
            </w:r>
            <w:proofErr w:type="spellStart"/>
            <w:r w:rsidRPr="009555F2">
              <w:rPr>
                <w:rFonts w:eastAsia="Times New Roman"/>
                <w:sz w:val="22"/>
                <w:szCs w:val="22"/>
              </w:rPr>
              <w:t>nivelul</w:t>
            </w:r>
            <w:proofErr w:type="spellEnd"/>
            <w:r w:rsidRPr="009555F2">
              <w:rPr>
                <w:rFonts w:eastAsia="Times New Roman"/>
                <w:sz w:val="22"/>
                <w:szCs w:val="22"/>
              </w:rPr>
              <w:t xml:space="preserve"> SEN, </w:t>
            </w:r>
            <w:proofErr w:type="spellStart"/>
            <w:r w:rsidRPr="009555F2">
              <w:rPr>
                <w:rFonts w:eastAsia="Times New Roman"/>
                <w:sz w:val="22"/>
                <w:szCs w:val="22"/>
              </w:rPr>
              <w:t>dar</w:t>
            </w:r>
            <w:proofErr w:type="spellEnd"/>
            <w:r w:rsidRPr="009555F2">
              <w:rPr>
                <w:rFonts w:eastAsia="Times New Roman"/>
                <w:sz w:val="22"/>
                <w:szCs w:val="22"/>
              </w:rPr>
              <w:t xml:space="preserve"> </w:t>
            </w:r>
            <w:proofErr w:type="spellStart"/>
            <w:r w:rsidRPr="009555F2">
              <w:rPr>
                <w:rFonts w:eastAsia="Times New Roman"/>
                <w:sz w:val="22"/>
                <w:szCs w:val="22"/>
              </w:rPr>
              <w:t>și</w:t>
            </w:r>
            <w:proofErr w:type="spellEnd"/>
            <w:r w:rsidRPr="009555F2">
              <w:rPr>
                <w:rFonts w:eastAsia="Times New Roman"/>
                <w:sz w:val="22"/>
                <w:szCs w:val="22"/>
              </w:rPr>
              <w:t xml:space="preserve"> </w:t>
            </w:r>
            <w:proofErr w:type="spellStart"/>
            <w:r w:rsidRPr="009555F2">
              <w:rPr>
                <w:rFonts w:eastAsia="Times New Roman"/>
                <w:sz w:val="22"/>
                <w:szCs w:val="22"/>
              </w:rPr>
              <w:t>pentru</w:t>
            </w:r>
            <w:proofErr w:type="spellEnd"/>
            <w:r w:rsidRPr="009555F2">
              <w:rPr>
                <w:rFonts w:eastAsia="Times New Roman"/>
                <w:sz w:val="22"/>
                <w:szCs w:val="22"/>
              </w:rPr>
              <w:t xml:space="preserve"> a beneficia de </w:t>
            </w:r>
            <w:proofErr w:type="spellStart"/>
            <w:r w:rsidRPr="009555F2">
              <w:rPr>
                <w:rFonts w:eastAsia="Times New Roman"/>
                <w:sz w:val="22"/>
                <w:szCs w:val="22"/>
              </w:rPr>
              <w:t>prevederile</w:t>
            </w:r>
            <w:proofErr w:type="spellEnd"/>
            <w:r w:rsidRPr="009555F2">
              <w:rPr>
                <w:rFonts w:eastAsia="Times New Roman"/>
                <w:sz w:val="22"/>
                <w:szCs w:val="22"/>
              </w:rPr>
              <w:t xml:space="preserve"> </w:t>
            </w:r>
            <w:proofErr w:type="spellStart"/>
            <w:r w:rsidRPr="009555F2">
              <w:rPr>
                <w:rFonts w:eastAsia="Times New Roman"/>
                <w:sz w:val="22"/>
                <w:szCs w:val="22"/>
              </w:rPr>
              <w:t>Legii</w:t>
            </w:r>
            <w:proofErr w:type="spellEnd"/>
            <w:r w:rsidRPr="009555F2">
              <w:rPr>
                <w:rFonts w:eastAsia="Times New Roman"/>
                <w:sz w:val="22"/>
                <w:szCs w:val="22"/>
              </w:rPr>
              <w:t xml:space="preserve"> nr. 123/2012 a </w:t>
            </w:r>
            <w:proofErr w:type="spellStart"/>
            <w:r w:rsidRPr="009555F2">
              <w:rPr>
                <w:rFonts w:eastAsia="Times New Roman"/>
                <w:sz w:val="22"/>
                <w:szCs w:val="22"/>
              </w:rPr>
              <w:t>energiei</w:t>
            </w:r>
            <w:proofErr w:type="spellEnd"/>
            <w:r w:rsidRPr="009555F2">
              <w:rPr>
                <w:rFonts w:eastAsia="Times New Roman"/>
                <w:sz w:val="22"/>
                <w:szCs w:val="22"/>
              </w:rPr>
              <w:t xml:space="preserve"> </w:t>
            </w:r>
            <w:proofErr w:type="spellStart"/>
            <w:r w:rsidRPr="009555F2">
              <w:rPr>
                <w:rFonts w:eastAsia="Times New Roman"/>
                <w:sz w:val="22"/>
                <w:szCs w:val="22"/>
              </w:rPr>
              <w:t>electrice</w:t>
            </w:r>
            <w:proofErr w:type="spellEnd"/>
            <w:r w:rsidRPr="009555F2">
              <w:rPr>
                <w:rFonts w:eastAsia="Times New Roman"/>
                <w:sz w:val="22"/>
                <w:szCs w:val="22"/>
              </w:rPr>
              <w:t xml:space="preserve"> </w:t>
            </w:r>
            <w:proofErr w:type="spellStart"/>
            <w:r w:rsidRPr="009555F2">
              <w:rPr>
                <w:rFonts w:eastAsia="Times New Roman"/>
                <w:sz w:val="22"/>
                <w:szCs w:val="22"/>
              </w:rPr>
              <w:t>și</w:t>
            </w:r>
            <w:proofErr w:type="spellEnd"/>
            <w:r w:rsidRPr="009555F2">
              <w:rPr>
                <w:rFonts w:eastAsia="Times New Roman"/>
                <w:sz w:val="22"/>
                <w:szCs w:val="22"/>
              </w:rPr>
              <w:t xml:space="preserve"> a </w:t>
            </w:r>
            <w:proofErr w:type="spellStart"/>
            <w:r w:rsidRPr="009555F2">
              <w:rPr>
                <w:rFonts w:eastAsia="Times New Roman"/>
                <w:sz w:val="22"/>
                <w:szCs w:val="22"/>
              </w:rPr>
              <w:t>gazelor</w:t>
            </w:r>
            <w:proofErr w:type="spellEnd"/>
            <w:r w:rsidRPr="009555F2">
              <w:rPr>
                <w:rFonts w:eastAsia="Times New Roman"/>
                <w:sz w:val="22"/>
                <w:szCs w:val="22"/>
              </w:rPr>
              <w:t xml:space="preserve"> </w:t>
            </w:r>
            <w:proofErr w:type="spellStart"/>
            <w:r w:rsidRPr="009555F2">
              <w:rPr>
                <w:rFonts w:eastAsia="Times New Roman"/>
                <w:sz w:val="22"/>
                <w:szCs w:val="22"/>
              </w:rPr>
              <w:t>naturale</w:t>
            </w:r>
            <w:proofErr w:type="spellEnd"/>
            <w:r w:rsidRPr="009555F2">
              <w:rPr>
                <w:rFonts w:eastAsia="Times New Roman"/>
                <w:sz w:val="22"/>
                <w:szCs w:val="22"/>
              </w:rPr>
              <w:t xml:space="preserve">, cu </w:t>
            </w:r>
            <w:proofErr w:type="spellStart"/>
            <w:r w:rsidRPr="009555F2">
              <w:rPr>
                <w:rFonts w:eastAsia="Times New Roman"/>
                <w:sz w:val="22"/>
                <w:szCs w:val="22"/>
              </w:rPr>
              <w:t>modificările</w:t>
            </w:r>
            <w:proofErr w:type="spellEnd"/>
            <w:r w:rsidRPr="009555F2">
              <w:rPr>
                <w:rFonts w:eastAsia="Times New Roman"/>
                <w:sz w:val="22"/>
                <w:szCs w:val="22"/>
              </w:rPr>
              <w:t xml:space="preserve"> </w:t>
            </w:r>
            <w:proofErr w:type="spellStart"/>
            <w:r w:rsidRPr="009555F2">
              <w:rPr>
                <w:rFonts w:eastAsia="Times New Roman"/>
                <w:sz w:val="22"/>
                <w:szCs w:val="22"/>
              </w:rPr>
              <w:t>și</w:t>
            </w:r>
            <w:proofErr w:type="spellEnd"/>
            <w:r w:rsidRPr="009555F2">
              <w:rPr>
                <w:rFonts w:eastAsia="Times New Roman"/>
                <w:sz w:val="22"/>
                <w:szCs w:val="22"/>
              </w:rPr>
              <w:t xml:space="preserve"> </w:t>
            </w:r>
            <w:proofErr w:type="spellStart"/>
            <w:r w:rsidRPr="009555F2">
              <w:rPr>
                <w:rFonts w:eastAsia="Times New Roman"/>
                <w:sz w:val="22"/>
                <w:szCs w:val="22"/>
              </w:rPr>
              <w:t>completările</w:t>
            </w:r>
            <w:proofErr w:type="spellEnd"/>
            <w:r w:rsidRPr="009555F2">
              <w:rPr>
                <w:rFonts w:eastAsia="Times New Roman"/>
                <w:sz w:val="22"/>
                <w:szCs w:val="22"/>
              </w:rPr>
              <w:t xml:space="preserve"> </w:t>
            </w:r>
            <w:proofErr w:type="spellStart"/>
            <w:r w:rsidRPr="009555F2">
              <w:rPr>
                <w:rFonts w:eastAsia="Times New Roman"/>
                <w:sz w:val="22"/>
                <w:szCs w:val="22"/>
              </w:rPr>
              <w:t>ulterioare</w:t>
            </w:r>
            <w:proofErr w:type="spellEnd"/>
            <w:r w:rsidRPr="009555F2">
              <w:rPr>
                <w:rFonts w:eastAsia="Times New Roman"/>
                <w:sz w:val="22"/>
                <w:szCs w:val="22"/>
              </w:rPr>
              <w:t xml:space="preserve">, se </w:t>
            </w:r>
            <w:proofErr w:type="spellStart"/>
            <w:r w:rsidRPr="009555F2">
              <w:rPr>
                <w:rFonts w:eastAsia="Times New Roman"/>
                <w:sz w:val="22"/>
                <w:szCs w:val="22"/>
              </w:rPr>
              <w:t>impune</w:t>
            </w:r>
            <w:proofErr w:type="spellEnd"/>
            <w:r w:rsidRPr="009555F2">
              <w:rPr>
                <w:rFonts w:eastAsia="Times New Roman"/>
                <w:sz w:val="22"/>
                <w:szCs w:val="22"/>
              </w:rPr>
              <w:t xml:space="preserve"> ca </w:t>
            </w:r>
            <w:proofErr w:type="spellStart"/>
            <w:r w:rsidRPr="009555F2">
              <w:rPr>
                <w:rFonts w:eastAsia="Times New Roman"/>
                <w:sz w:val="22"/>
                <w:szCs w:val="22"/>
              </w:rPr>
              <w:t>puterea</w:t>
            </w:r>
            <w:proofErr w:type="spellEnd"/>
            <w:r w:rsidRPr="009555F2">
              <w:rPr>
                <w:rFonts w:eastAsia="Times New Roman"/>
                <w:sz w:val="22"/>
                <w:szCs w:val="22"/>
              </w:rPr>
              <w:t xml:space="preserve"> </w:t>
            </w:r>
            <w:proofErr w:type="spellStart"/>
            <w:r w:rsidR="009555F2" w:rsidRPr="009555F2">
              <w:rPr>
                <w:rFonts w:eastAsia="Times New Roman"/>
                <w:sz w:val="22"/>
                <w:szCs w:val="22"/>
              </w:rPr>
              <w:t>instalată</w:t>
            </w:r>
            <w:proofErr w:type="spellEnd"/>
            <w:r w:rsidR="009555F2" w:rsidRPr="009555F2">
              <w:rPr>
                <w:rFonts w:eastAsia="Times New Roman"/>
                <w:sz w:val="22"/>
                <w:szCs w:val="22"/>
              </w:rPr>
              <w:t xml:space="preserve"> </w:t>
            </w:r>
            <w:proofErr w:type="spellStart"/>
            <w:r w:rsidR="009555F2" w:rsidRPr="009555F2">
              <w:rPr>
                <w:rFonts w:eastAsia="Times New Roman"/>
                <w:sz w:val="22"/>
                <w:szCs w:val="22"/>
              </w:rPr>
              <w:t>să</w:t>
            </w:r>
            <w:proofErr w:type="spellEnd"/>
            <w:r w:rsidR="009555F2" w:rsidRPr="009555F2">
              <w:rPr>
                <w:rFonts w:eastAsia="Times New Roman"/>
                <w:sz w:val="22"/>
                <w:szCs w:val="22"/>
              </w:rPr>
              <w:t xml:space="preserve"> nu </w:t>
            </w:r>
            <w:proofErr w:type="spellStart"/>
            <w:r w:rsidR="009555F2" w:rsidRPr="009555F2">
              <w:rPr>
                <w:rFonts w:eastAsia="Times New Roman"/>
                <w:sz w:val="22"/>
                <w:szCs w:val="22"/>
              </w:rPr>
              <w:t>depășească</w:t>
            </w:r>
            <w:proofErr w:type="spellEnd"/>
            <w:r w:rsidR="009555F2" w:rsidRPr="009555F2">
              <w:rPr>
                <w:rFonts w:eastAsia="Times New Roman"/>
                <w:sz w:val="22"/>
                <w:szCs w:val="22"/>
              </w:rPr>
              <w:t>:</w:t>
            </w:r>
          </w:p>
          <w:p w14:paraId="32830A52" w14:textId="77777777" w:rsidR="009555F2" w:rsidRPr="009555F2" w:rsidRDefault="009555F2">
            <w:pPr>
              <w:widowControl w:val="0"/>
              <w:spacing w:before="0" w:after="0"/>
              <w:ind w:left="0"/>
              <w:rPr>
                <w:rFonts w:eastAsia="Times New Roman"/>
                <w:sz w:val="22"/>
                <w:szCs w:val="22"/>
              </w:rPr>
            </w:pPr>
          </w:p>
          <w:p w14:paraId="09310085" w14:textId="715F1BB8" w:rsidR="009555F2" w:rsidRPr="00A04CFD" w:rsidRDefault="009555F2">
            <w:pPr>
              <w:pStyle w:val="ListParagraph"/>
              <w:widowControl w:val="0"/>
              <w:numPr>
                <w:ilvl w:val="0"/>
                <w:numId w:val="40"/>
              </w:numPr>
              <w:spacing w:before="0" w:after="0"/>
              <w:rPr>
                <w:rFonts w:eastAsia="Times New Roman"/>
                <w:sz w:val="22"/>
                <w:szCs w:val="22"/>
              </w:rPr>
            </w:pP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consumul</w:t>
            </w:r>
            <w:proofErr w:type="spellEnd"/>
            <w:r w:rsidRPr="00A04CFD">
              <w:rPr>
                <w:rFonts w:eastAsia="Times New Roman"/>
                <w:sz w:val="22"/>
                <w:szCs w:val="22"/>
              </w:rPr>
              <w:t xml:space="preserve"> </w:t>
            </w:r>
            <w:proofErr w:type="spellStart"/>
            <w:r w:rsidRPr="00A04CFD">
              <w:rPr>
                <w:rFonts w:eastAsia="Times New Roman"/>
                <w:sz w:val="22"/>
                <w:szCs w:val="22"/>
              </w:rPr>
              <w:t>propriu</w:t>
            </w:r>
            <w:proofErr w:type="spellEnd"/>
            <w:r w:rsidRPr="00A04CFD">
              <w:rPr>
                <w:rFonts w:eastAsia="Times New Roman"/>
                <w:sz w:val="22"/>
                <w:szCs w:val="22"/>
              </w:rPr>
              <w:t xml:space="preserve"> al </w:t>
            </w:r>
            <w:proofErr w:type="spellStart"/>
            <w:r w:rsidRPr="00A04CFD">
              <w:rPr>
                <w:rFonts w:eastAsia="Times New Roman"/>
                <w:sz w:val="22"/>
                <w:szCs w:val="22"/>
              </w:rPr>
              <w:t>clădirii</w:t>
            </w:r>
            <w:proofErr w:type="spellEnd"/>
            <w:r w:rsidRPr="00A04CFD">
              <w:rPr>
                <w:rFonts w:eastAsia="Times New Roman"/>
                <w:sz w:val="22"/>
                <w:szCs w:val="22"/>
              </w:rPr>
              <w:t xml:space="preserve"> </w:t>
            </w:r>
            <w:proofErr w:type="spellStart"/>
            <w:r w:rsidRPr="00A04CFD">
              <w:rPr>
                <w:rFonts w:eastAsia="Times New Roman"/>
                <w:sz w:val="22"/>
                <w:szCs w:val="22"/>
              </w:rPr>
              <w:t>publice</w:t>
            </w:r>
            <w:proofErr w:type="spellEnd"/>
          </w:p>
          <w:p w14:paraId="6CBA7608" w14:textId="43D5F779" w:rsidR="009555F2" w:rsidRPr="00A04CFD" w:rsidRDefault="009555F2" w:rsidP="009555F2">
            <w:pPr>
              <w:pStyle w:val="ListParagraph"/>
              <w:widowControl w:val="0"/>
              <w:spacing w:before="0" w:after="0"/>
              <w:rPr>
                <w:rFonts w:eastAsia="Times New Roman"/>
                <w:sz w:val="22"/>
                <w:szCs w:val="22"/>
              </w:rPr>
            </w:pPr>
            <w:proofErr w:type="spellStart"/>
            <w:r w:rsidRPr="00A04CFD">
              <w:rPr>
                <w:rFonts w:eastAsia="Times New Roman"/>
                <w:sz w:val="22"/>
                <w:szCs w:val="22"/>
              </w:rPr>
              <w:t>Între</w:t>
            </w:r>
            <w:proofErr w:type="spellEnd"/>
            <w:r w:rsidRPr="00A04CFD">
              <w:rPr>
                <w:rFonts w:eastAsia="Times New Roman"/>
                <w:sz w:val="22"/>
                <w:szCs w:val="22"/>
              </w:rPr>
              <w:t xml:space="preserve"> 0,2 MW (</w:t>
            </w:r>
            <w:proofErr w:type="spellStart"/>
            <w:r w:rsidRPr="00A04CFD">
              <w:rPr>
                <w:rFonts w:eastAsia="Times New Roman"/>
                <w:sz w:val="22"/>
                <w:szCs w:val="22"/>
              </w:rPr>
              <w:t>exclusiv</w:t>
            </w:r>
            <w:proofErr w:type="spellEnd"/>
            <w:r w:rsidRPr="00A04CFD">
              <w:rPr>
                <w:rFonts w:eastAsia="Times New Roman"/>
                <w:sz w:val="22"/>
                <w:szCs w:val="22"/>
              </w:rPr>
              <w:t xml:space="preserve">) </w:t>
            </w:r>
            <w:proofErr w:type="spellStart"/>
            <w:r w:rsidRPr="00A04CFD">
              <w:rPr>
                <w:rFonts w:eastAsia="Times New Roman"/>
                <w:sz w:val="22"/>
                <w:szCs w:val="22"/>
              </w:rPr>
              <w:t>și</w:t>
            </w:r>
            <w:proofErr w:type="spellEnd"/>
            <w:r w:rsidRPr="00A04CFD">
              <w:rPr>
                <w:rFonts w:eastAsia="Times New Roman"/>
                <w:sz w:val="22"/>
                <w:szCs w:val="22"/>
              </w:rPr>
              <w:t xml:space="preserve"> 1 MW (</w:t>
            </w:r>
            <w:proofErr w:type="spellStart"/>
            <w:r w:rsidRPr="00A04CFD">
              <w:rPr>
                <w:rFonts w:eastAsia="Times New Roman"/>
                <w:sz w:val="22"/>
                <w:szCs w:val="22"/>
              </w:rPr>
              <w:t>inclusiv</w:t>
            </w:r>
            <w:proofErr w:type="spellEnd"/>
            <w:r w:rsidRPr="00A04CFD">
              <w:rPr>
                <w:rFonts w:eastAsia="Times New Roman"/>
                <w:sz w:val="22"/>
                <w:szCs w:val="22"/>
              </w:rPr>
              <w:t xml:space="preserve">) </w:t>
            </w:r>
            <w:proofErr w:type="spellStart"/>
            <w:r w:rsidRPr="00A04CFD">
              <w:rPr>
                <w:rFonts w:eastAsia="Times New Roman"/>
                <w:sz w:val="22"/>
                <w:szCs w:val="22"/>
              </w:rPr>
              <w:t>energie</w:t>
            </w:r>
            <w:proofErr w:type="spellEnd"/>
            <w:r w:rsidRPr="00A04CFD">
              <w:rPr>
                <w:rFonts w:eastAsia="Times New Roman"/>
                <w:sz w:val="22"/>
                <w:szCs w:val="22"/>
              </w:rPr>
              <w:t xml:space="preserve"> </w:t>
            </w:r>
            <w:proofErr w:type="spellStart"/>
            <w:r w:rsidRPr="00A04CFD">
              <w:rPr>
                <w:rFonts w:eastAsia="Times New Roman"/>
                <w:sz w:val="22"/>
                <w:szCs w:val="22"/>
              </w:rPr>
              <w:t>electrică</w:t>
            </w:r>
            <w:proofErr w:type="spellEnd"/>
            <w:r w:rsidRPr="00A04CFD">
              <w:rPr>
                <w:rFonts w:eastAsia="Times New Roman"/>
                <w:sz w:val="22"/>
                <w:szCs w:val="22"/>
              </w:rPr>
              <w:t xml:space="preserve"> (</w:t>
            </w:r>
            <w:proofErr w:type="spellStart"/>
            <w:r w:rsidRPr="00A04CFD">
              <w:rPr>
                <w:rFonts w:eastAsia="Times New Roman"/>
                <w:sz w:val="22"/>
                <w:szCs w:val="22"/>
              </w:rPr>
              <w:t>valoarea</w:t>
            </w:r>
            <w:proofErr w:type="spellEnd"/>
            <w:r w:rsidRPr="00A04CFD">
              <w:rPr>
                <w:rFonts w:eastAsia="Times New Roman"/>
                <w:sz w:val="22"/>
                <w:szCs w:val="22"/>
              </w:rPr>
              <w:t xml:space="preserve"> </w:t>
            </w:r>
            <w:proofErr w:type="spellStart"/>
            <w:r w:rsidRPr="00A04CFD">
              <w:rPr>
                <w:rFonts w:eastAsia="Times New Roman"/>
                <w:sz w:val="22"/>
                <w:szCs w:val="22"/>
              </w:rPr>
              <w:t>maximă</w:t>
            </w:r>
            <w:proofErr w:type="spellEnd"/>
            <w:r w:rsidRPr="00A04CFD">
              <w:rPr>
                <w:rFonts w:eastAsia="Times New Roman"/>
                <w:sz w:val="22"/>
                <w:szCs w:val="22"/>
              </w:rPr>
              <w:t xml:space="preserve"> de 1MW capacitate </w:t>
            </w:r>
            <w:proofErr w:type="spellStart"/>
            <w:r w:rsidRPr="00A04CFD">
              <w:rPr>
                <w:rFonts w:eastAsia="Times New Roman"/>
                <w:sz w:val="22"/>
                <w:szCs w:val="22"/>
              </w:rPr>
              <w:t>instalată</w:t>
            </w:r>
            <w:proofErr w:type="spellEnd"/>
            <w:r w:rsidRPr="00A04CFD">
              <w:rPr>
                <w:rFonts w:eastAsia="Times New Roman"/>
                <w:sz w:val="22"/>
                <w:szCs w:val="22"/>
              </w:rPr>
              <w:t xml:space="preserve"> se </w:t>
            </w:r>
            <w:proofErr w:type="spellStart"/>
            <w:r w:rsidRPr="00A04CFD">
              <w:rPr>
                <w:rFonts w:eastAsia="Times New Roman"/>
                <w:sz w:val="22"/>
                <w:szCs w:val="22"/>
              </w:rPr>
              <w:t>aplică</w:t>
            </w:r>
            <w:proofErr w:type="spellEnd"/>
            <w:r w:rsidRPr="00A04CFD">
              <w:rPr>
                <w:rFonts w:eastAsia="Times New Roman"/>
                <w:sz w:val="22"/>
                <w:szCs w:val="22"/>
              </w:rPr>
              <w:t xml:space="preserve"> conform art. 10 din </w:t>
            </w:r>
            <w:proofErr w:type="spellStart"/>
            <w:r w:rsidRPr="00A04CFD">
              <w:rPr>
                <w:rFonts w:eastAsia="Times New Roman"/>
                <w:sz w:val="22"/>
                <w:szCs w:val="22"/>
              </w:rPr>
              <w:t>Legea</w:t>
            </w:r>
            <w:proofErr w:type="spellEnd"/>
            <w:r w:rsidRPr="00A04CFD">
              <w:rPr>
                <w:rFonts w:eastAsia="Times New Roman"/>
                <w:sz w:val="22"/>
                <w:szCs w:val="22"/>
              </w:rPr>
              <w:t xml:space="preserve"> nr. 123/2012, </w:t>
            </w:r>
            <w:proofErr w:type="spellStart"/>
            <w:r w:rsidRPr="00A04CFD">
              <w:rPr>
                <w:rFonts w:eastAsia="Times New Roman"/>
                <w:sz w:val="22"/>
                <w:szCs w:val="22"/>
              </w:rPr>
              <w:t>în</w:t>
            </w:r>
            <w:proofErr w:type="spellEnd"/>
            <w:r w:rsidRPr="00A04CFD">
              <w:rPr>
                <w:rFonts w:eastAsia="Times New Roman"/>
                <w:sz w:val="22"/>
                <w:szCs w:val="22"/>
              </w:rPr>
              <w:t xml:space="preserve"> </w:t>
            </w:r>
            <w:proofErr w:type="spellStart"/>
            <w:r w:rsidRPr="00A04CFD">
              <w:rPr>
                <w:rFonts w:eastAsia="Times New Roman"/>
                <w:sz w:val="22"/>
                <w:szCs w:val="22"/>
              </w:rPr>
              <w:t>vederea</w:t>
            </w:r>
            <w:proofErr w:type="spellEnd"/>
            <w:r w:rsidRPr="00A04CFD">
              <w:rPr>
                <w:rFonts w:eastAsia="Times New Roman"/>
                <w:sz w:val="22"/>
                <w:szCs w:val="22"/>
              </w:rPr>
              <w:t xml:space="preserve"> </w:t>
            </w:r>
            <w:proofErr w:type="spellStart"/>
            <w:r w:rsidRPr="00A04CFD">
              <w:rPr>
                <w:rFonts w:eastAsia="Times New Roman"/>
                <w:sz w:val="22"/>
                <w:szCs w:val="22"/>
              </w:rPr>
              <w:t>unui</w:t>
            </w:r>
            <w:proofErr w:type="spellEnd"/>
            <w:r w:rsidRPr="00A04CFD">
              <w:rPr>
                <w:rFonts w:eastAsia="Times New Roman"/>
                <w:sz w:val="22"/>
                <w:szCs w:val="22"/>
              </w:rPr>
              <w:t xml:space="preserve"> </w:t>
            </w:r>
            <w:proofErr w:type="spellStart"/>
            <w:r w:rsidRPr="00A04CFD">
              <w:rPr>
                <w:rFonts w:eastAsia="Times New Roman"/>
                <w:sz w:val="22"/>
                <w:szCs w:val="22"/>
              </w:rPr>
              <w:t>proces</w:t>
            </w:r>
            <w:proofErr w:type="spellEnd"/>
            <w:r w:rsidRPr="00A04CFD">
              <w:rPr>
                <w:rFonts w:eastAsia="Times New Roman"/>
                <w:sz w:val="22"/>
                <w:szCs w:val="22"/>
              </w:rPr>
              <w:t xml:space="preserve"> de </w:t>
            </w:r>
            <w:proofErr w:type="spellStart"/>
            <w:r w:rsidRPr="00A04CFD">
              <w:rPr>
                <w:rFonts w:eastAsia="Times New Roman"/>
                <w:sz w:val="22"/>
                <w:szCs w:val="22"/>
              </w:rPr>
              <w:t>autorizare</w:t>
            </w:r>
            <w:proofErr w:type="spellEnd"/>
            <w:r w:rsidRPr="00A04CFD">
              <w:rPr>
                <w:rFonts w:eastAsia="Times New Roman"/>
                <w:sz w:val="22"/>
                <w:szCs w:val="22"/>
              </w:rPr>
              <w:t xml:space="preserve"> </w:t>
            </w:r>
            <w:proofErr w:type="spellStart"/>
            <w:r w:rsidRPr="00A04CFD">
              <w:rPr>
                <w:rFonts w:eastAsia="Times New Roman"/>
                <w:sz w:val="22"/>
                <w:szCs w:val="22"/>
              </w:rPr>
              <w:t>și</w:t>
            </w:r>
            <w:proofErr w:type="spellEnd"/>
            <w:r w:rsidRPr="00A04CFD">
              <w:rPr>
                <w:rFonts w:eastAsia="Times New Roman"/>
                <w:sz w:val="22"/>
                <w:szCs w:val="22"/>
              </w:rPr>
              <w:t xml:space="preserve"> </w:t>
            </w:r>
            <w:proofErr w:type="spellStart"/>
            <w:r w:rsidRPr="00A04CFD">
              <w:rPr>
                <w:rFonts w:eastAsia="Times New Roman"/>
                <w:sz w:val="22"/>
                <w:szCs w:val="22"/>
              </w:rPr>
              <w:t>acordare</w:t>
            </w:r>
            <w:proofErr w:type="spellEnd"/>
            <w:r w:rsidRPr="00A04CFD">
              <w:rPr>
                <w:rFonts w:eastAsia="Times New Roman"/>
                <w:sz w:val="22"/>
                <w:szCs w:val="22"/>
              </w:rPr>
              <w:t xml:space="preserve"> a </w:t>
            </w:r>
            <w:proofErr w:type="spellStart"/>
            <w:r w:rsidRPr="00A04CFD">
              <w:rPr>
                <w:rFonts w:eastAsia="Times New Roman"/>
                <w:sz w:val="22"/>
                <w:szCs w:val="22"/>
              </w:rPr>
              <w:t>licenței</w:t>
            </w:r>
            <w:proofErr w:type="spellEnd"/>
            <w:r w:rsidRPr="00A04CFD">
              <w:rPr>
                <w:rFonts w:eastAsia="Times New Roman"/>
                <w:sz w:val="22"/>
                <w:szCs w:val="22"/>
              </w:rPr>
              <w:t xml:space="preserve"> </w:t>
            </w:r>
            <w:proofErr w:type="spellStart"/>
            <w:r w:rsidRPr="00A04CFD">
              <w:rPr>
                <w:rFonts w:eastAsia="Times New Roman"/>
                <w:sz w:val="22"/>
                <w:szCs w:val="22"/>
              </w:rPr>
              <w:t>mai</w:t>
            </w:r>
            <w:proofErr w:type="spellEnd"/>
            <w:r w:rsidRPr="00A04CFD">
              <w:rPr>
                <w:rFonts w:eastAsia="Times New Roman"/>
                <w:sz w:val="22"/>
                <w:szCs w:val="22"/>
              </w:rPr>
              <w:t xml:space="preserve"> </w:t>
            </w:r>
            <w:proofErr w:type="spellStart"/>
            <w:r w:rsidRPr="00A04CFD">
              <w:rPr>
                <w:rFonts w:eastAsia="Times New Roman"/>
                <w:sz w:val="22"/>
                <w:szCs w:val="22"/>
              </w:rPr>
              <w:t>facil</w:t>
            </w:r>
            <w:proofErr w:type="spellEnd"/>
            <w:r w:rsidRPr="00A04CFD">
              <w:rPr>
                <w:rFonts w:eastAsia="Times New Roman"/>
                <w:sz w:val="22"/>
                <w:szCs w:val="22"/>
              </w:rPr>
              <w:t xml:space="preserve">). </w:t>
            </w:r>
            <w:proofErr w:type="spellStart"/>
            <w:r w:rsidRPr="00A04CFD">
              <w:rPr>
                <w:rFonts w:eastAsia="Times New Roman"/>
                <w:sz w:val="22"/>
                <w:szCs w:val="22"/>
              </w:rPr>
              <w:t>Această</w:t>
            </w:r>
            <w:proofErr w:type="spellEnd"/>
            <w:r w:rsidRPr="00A04CFD">
              <w:rPr>
                <w:rFonts w:eastAsia="Times New Roman"/>
                <w:sz w:val="22"/>
                <w:szCs w:val="22"/>
              </w:rPr>
              <w:t xml:space="preserve"> </w:t>
            </w:r>
            <w:proofErr w:type="spellStart"/>
            <w:r w:rsidRPr="00A04CFD">
              <w:rPr>
                <w:rFonts w:eastAsia="Times New Roman"/>
                <w:sz w:val="22"/>
                <w:szCs w:val="22"/>
              </w:rPr>
              <w:t>mențiune</w:t>
            </w:r>
            <w:proofErr w:type="spellEnd"/>
            <w:r w:rsidRPr="00A04CFD">
              <w:rPr>
                <w:rFonts w:eastAsia="Times New Roman"/>
                <w:sz w:val="22"/>
                <w:szCs w:val="22"/>
              </w:rPr>
              <w:t xml:space="preserve"> cu </w:t>
            </w:r>
            <w:proofErr w:type="spellStart"/>
            <w:r w:rsidRPr="00A04CFD">
              <w:rPr>
                <w:rFonts w:eastAsia="Times New Roman"/>
                <w:sz w:val="22"/>
                <w:szCs w:val="22"/>
              </w:rPr>
              <w:t>privire</w:t>
            </w:r>
            <w:proofErr w:type="spellEnd"/>
            <w:r w:rsidRPr="00A04CFD">
              <w:rPr>
                <w:rFonts w:eastAsia="Times New Roman"/>
                <w:sz w:val="22"/>
                <w:szCs w:val="22"/>
              </w:rPr>
              <w:t xml:space="preserve"> </w:t>
            </w:r>
            <w:proofErr w:type="spellStart"/>
            <w:r w:rsidRPr="00A04CFD">
              <w:rPr>
                <w:rFonts w:eastAsia="Times New Roman"/>
                <w:sz w:val="22"/>
                <w:szCs w:val="22"/>
              </w:rPr>
              <w:t>dimensiunea</w:t>
            </w:r>
            <w:proofErr w:type="spellEnd"/>
            <w:r w:rsidRPr="00A04CFD">
              <w:rPr>
                <w:rFonts w:eastAsia="Times New Roman"/>
                <w:sz w:val="22"/>
                <w:szCs w:val="22"/>
              </w:rPr>
              <w:t xml:space="preserve"> </w:t>
            </w:r>
            <w:proofErr w:type="spellStart"/>
            <w:r w:rsidRPr="00A04CFD">
              <w:rPr>
                <w:rFonts w:eastAsia="Times New Roman"/>
                <w:sz w:val="22"/>
                <w:szCs w:val="22"/>
              </w:rPr>
              <w:t>capacității</w:t>
            </w:r>
            <w:proofErr w:type="spellEnd"/>
            <w:r w:rsidRPr="00A04CFD">
              <w:rPr>
                <w:rFonts w:eastAsia="Times New Roman"/>
                <w:sz w:val="22"/>
                <w:szCs w:val="22"/>
              </w:rPr>
              <w:t xml:space="preserve"> </w:t>
            </w:r>
            <w:proofErr w:type="spellStart"/>
            <w:r w:rsidRPr="00A04CFD">
              <w:rPr>
                <w:rFonts w:eastAsia="Times New Roman"/>
                <w:sz w:val="22"/>
                <w:szCs w:val="22"/>
              </w:rPr>
              <w:t>instalate</w:t>
            </w:r>
            <w:proofErr w:type="spellEnd"/>
            <w:r w:rsidRPr="00A04CFD">
              <w:rPr>
                <w:rFonts w:eastAsia="Times New Roman"/>
                <w:sz w:val="22"/>
                <w:szCs w:val="22"/>
              </w:rPr>
              <w:t xml:space="preserve"> </w:t>
            </w:r>
            <w:proofErr w:type="spellStart"/>
            <w:r w:rsidRPr="00A04CFD">
              <w:rPr>
                <w:rFonts w:eastAsia="Times New Roman"/>
                <w:sz w:val="22"/>
                <w:szCs w:val="22"/>
              </w:rPr>
              <w:t>este</w:t>
            </w:r>
            <w:proofErr w:type="spellEnd"/>
            <w:r w:rsidRPr="00A04CFD">
              <w:rPr>
                <w:rFonts w:eastAsia="Times New Roman"/>
                <w:sz w:val="22"/>
                <w:szCs w:val="22"/>
              </w:rPr>
              <w:t xml:space="preserve"> </w:t>
            </w:r>
            <w:proofErr w:type="spellStart"/>
            <w:r w:rsidRPr="00A04CFD">
              <w:rPr>
                <w:rFonts w:eastAsia="Times New Roman"/>
                <w:sz w:val="22"/>
                <w:szCs w:val="22"/>
              </w:rPr>
              <w:t>orientativă</w:t>
            </w:r>
            <w:proofErr w:type="spellEnd"/>
            <w:r w:rsidRPr="00A04CFD">
              <w:rPr>
                <w:rFonts w:eastAsia="Times New Roman"/>
                <w:sz w:val="22"/>
                <w:szCs w:val="22"/>
              </w:rPr>
              <w:t xml:space="preserve">, nu se </w:t>
            </w:r>
            <w:proofErr w:type="spellStart"/>
            <w:r w:rsidRPr="00A04CFD">
              <w:rPr>
                <w:rFonts w:eastAsia="Times New Roman"/>
                <w:sz w:val="22"/>
                <w:szCs w:val="22"/>
              </w:rPr>
              <w:t>aplică</w:t>
            </w:r>
            <w:proofErr w:type="spellEnd"/>
            <w:r w:rsidRPr="00A04CFD">
              <w:rPr>
                <w:rFonts w:eastAsia="Times New Roman"/>
                <w:sz w:val="22"/>
                <w:szCs w:val="22"/>
              </w:rPr>
              <w:t xml:space="preserve"> </w:t>
            </w:r>
            <w:proofErr w:type="spellStart"/>
            <w:r w:rsidRPr="00A04CFD">
              <w:rPr>
                <w:rFonts w:eastAsia="Times New Roman"/>
                <w:sz w:val="22"/>
                <w:szCs w:val="22"/>
              </w:rPr>
              <w:t>parteneriatelor</w:t>
            </w:r>
            <w:proofErr w:type="spellEnd"/>
            <w:r w:rsidRPr="00A04CFD">
              <w:rPr>
                <w:rFonts w:eastAsia="Times New Roman"/>
                <w:sz w:val="22"/>
                <w:szCs w:val="22"/>
              </w:rPr>
              <w:t xml:space="preserve">. Este </w:t>
            </w:r>
            <w:proofErr w:type="spellStart"/>
            <w:r w:rsidRPr="00A04CFD">
              <w:rPr>
                <w:rFonts w:eastAsia="Times New Roman"/>
                <w:sz w:val="22"/>
                <w:szCs w:val="22"/>
              </w:rPr>
              <w:t>în</w:t>
            </w:r>
            <w:proofErr w:type="spellEnd"/>
            <w:r w:rsidRPr="00A04CFD">
              <w:rPr>
                <w:rFonts w:eastAsia="Times New Roman"/>
                <w:sz w:val="22"/>
                <w:szCs w:val="22"/>
              </w:rPr>
              <w:t xml:space="preserve"> sarcina </w:t>
            </w:r>
            <w:proofErr w:type="spellStart"/>
            <w:r w:rsidRPr="00A04CFD">
              <w:rPr>
                <w:rFonts w:eastAsia="Times New Roman"/>
                <w:sz w:val="22"/>
                <w:szCs w:val="22"/>
              </w:rPr>
              <w:t>beneficiarului</w:t>
            </w:r>
            <w:proofErr w:type="spellEnd"/>
            <w:r w:rsidRPr="00A04CFD">
              <w:rPr>
                <w:rFonts w:eastAsia="Times New Roman"/>
                <w:sz w:val="22"/>
                <w:szCs w:val="22"/>
              </w:rPr>
              <w:t xml:space="preserve"> </w:t>
            </w:r>
            <w:proofErr w:type="spellStart"/>
            <w:r w:rsidRPr="00A04CFD">
              <w:rPr>
                <w:rFonts w:eastAsia="Times New Roman"/>
                <w:sz w:val="22"/>
                <w:szCs w:val="22"/>
              </w:rPr>
              <w:t>parcurgerea</w:t>
            </w:r>
            <w:proofErr w:type="spellEnd"/>
            <w:r w:rsidRPr="00A04CFD">
              <w:rPr>
                <w:rFonts w:eastAsia="Times New Roman"/>
                <w:sz w:val="22"/>
                <w:szCs w:val="22"/>
              </w:rPr>
              <w:t xml:space="preserve"> </w:t>
            </w:r>
            <w:proofErr w:type="spellStart"/>
            <w:r w:rsidRPr="00A04CFD">
              <w:rPr>
                <w:rFonts w:eastAsia="Times New Roman"/>
                <w:sz w:val="22"/>
                <w:szCs w:val="22"/>
              </w:rPr>
              <w:t>procedurilor</w:t>
            </w:r>
            <w:proofErr w:type="spellEnd"/>
            <w:r w:rsidRPr="00A04CFD">
              <w:rPr>
                <w:rFonts w:eastAsia="Times New Roman"/>
                <w:sz w:val="22"/>
                <w:szCs w:val="22"/>
              </w:rPr>
              <w:t xml:space="preserve"> de </w:t>
            </w:r>
            <w:proofErr w:type="spellStart"/>
            <w:r w:rsidRPr="00A04CFD">
              <w:rPr>
                <w:rFonts w:eastAsia="Times New Roman"/>
                <w:sz w:val="22"/>
                <w:szCs w:val="22"/>
              </w:rPr>
              <w:t>autorizare</w:t>
            </w:r>
            <w:proofErr w:type="spellEnd"/>
            <w:r w:rsidRPr="00A04CFD">
              <w:rPr>
                <w:rFonts w:eastAsia="Times New Roman"/>
                <w:sz w:val="22"/>
                <w:szCs w:val="22"/>
              </w:rPr>
              <w:t xml:space="preserve"> </w:t>
            </w:r>
            <w:proofErr w:type="spellStart"/>
            <w:r w:rsidRPr="00A04CFD">
              <w:rPr>
                <w:rFonts w:eastAsia="Times New Roman"/>
                <w:sz w:val="22"/>
                <w:szCs w:val="22"/>
              </w:rPr>
              <w:t>și</w:t>
            </w:r>
            <w:proofErr w:type="spellEnd"/>
            <w:r w:rsidRPr="00A04CFD">
              <w:rPr>
                <w:rFonts w:eastAsia="Times New Roman"/>
                <w:sz w:val="22"/>
                <w:szCs w:val="22"/>
              </w:rPr>
              <w:t xml:space="preserve"> </w:t>
            </w:r>
            <w:proofErr w:type="spellStart"/>
            <w:r w:rsidRPr="00A04CFD">
              <w:rPr>
                <w:rFonts w:eastAsia="Times New Roman"/>
                <w:sz w:val="22"/>
                <w:szCs w:val="22"/>
              </w:rPr>
              <w:t>licențiere</w:t>
            </w:r>
            <w:proofErr w:type="spellEnd"/>
            <w:r w:rsidRPr="00A04CFD">
              <w:rPr>
                <w:rFonts w:eastAsia="Times New Roman"/>
                <w:sz w:val="22"/>
                <w:szCs w:val="22"/>
              </w:rPr>
              <w:t xml:space="preserve"> de </w:t>
            </w:r>
            <w:proofErr w:type="spellStart"/>
            <w:r w:rsidRPr="00A04CFD">
              <w:rPr>
                <w:rFonts w:eastAsia="Times New Roman"/>
                <w:sz w:val="22"/>
                <w:szCs w:val="22"/>
              </w:rPr>
              <w:t>către</w:t>
            </w:r>
            <w:proofErr w:type="spellEnd"/>
            <w:r w:rsidRPr="00A04CFD">
              <w:rPr>
                <w:rFonts w:eastAsia="Times New Roman"/>
                <w:sz w:val="22"/>
                <w:szCs w:val="22"/>
              </w:rPr>
              <w:t xml:space="preserve"> </w:t>
            </w:r>
            <w:proofErr w:type="spellStart"/>
            <w:r w:rsidRPr="00A04CFD">
              <w:rPr>
                <w:rFonts w:eastAsia="Times New Roman"/>
                <w:sz w:val="22"/>
                <w:szCs w:val="22"/>
              </w:rPr>
              <w:t>autoritățile</w:t>
            </w:r>
            <w:proofErr w:type="spellEnd"/>
            <w:r w:rsidRPr="00A04CFD">
              <w:rPr>
                <w:rFonts w:eastAsia="Times New Roman"/>
                <w:sz w:val="22"/>
                <w:szCs w:val="22"/>
              </w:rPr>
              <w:t xml:space="preserve"> </w:t>
            </w:r>
            <w:proofErr w:type="spellStart"/>
            <w:r w:rsidRPr="00A04CFD">
              <w:rPr>
                <w:rFonts w:eastAsia="Times New Roman"/>
                <w:sz w:val="22"/>
                <w:szCs w:val="22"/>
              </w:rPr>
              <w:t>competente</w:t>
            </w:r>
            <w:proofErr w:type="spellEnd"/>
            <w:r w:rsidRPr="00A04CFD">
              <w:rPr>
                <w:rFonts w:eastAsia="Times New Roman"/>
                <w:sz w:val="22"/>
                <w:szCs w:val="22"/>
              </w:rPr>
              <w:t xml:space="preserve"> </w:t>
            </w:r>
            <w:proofErr w:type="spellStart"/>
            <w:r w:rsidRPr="00A04CFD">
              <w:rPr>
                <w:rFonts w:eastAsia="Times New Roman"/>
                <w:sz w:val="22"/>
                <w:szCs w:val="22"/>
              </w:rPr>
              <w:t>în</w:t>
            </w:r>
            <w:proofErr w:type="spellEnd"/>
            <w:r w:rsidRPr="00A04CFD">
              <w:rPr>
                <w:rFonts w:eastAsia="Times New Roman"/>
                <w:sz w:val="22"/>
                <w:szCs w:val="22"/>
              </w:rPr>
              <w:t xml:space="preserve"> </w:t>
            </w:r>
            <w:proofErr w:type="spellStart"/>
            <w:r w:rsidRPr="00A04CFD">
              <w:rPr>
                <w:rFonts w:eastAsia="Times New Roman"/>
                <w:sz w:val="22"/>
                <w:szCs w:val="22"/>
              </w:rPr>
              <w:t>domeniu</w:t>
            </w:r>
            <w:proofErr w:type="spellEnd"/>
            <w:r w:rsidRPr="00A04CFD">
              <w:rPr>
                <w:rFonts w:eastAsia="Times New Roman"/>
                <w:sz w:val="22"/>
                <w:szCs w:val="22"/>
              </w:rPr>
              <w:t xml:space="preserve">. </w:t>
            </w:r>
          </w:p>
          <w:p w14:paraId="5C96F7F0" w14:textId="77777777" w:rsidR="00A04CFD" w:rsidRPr="00A04CFD" w:rsidRDefault="00A04CFD" w:rsidP="009555F2">
            <w:pPr>
              <w:pStyle w:val="ListParagraph"/>
              <w:widowControl w:val="0"/>
              <w:spacing w:before="0" w:after="0"/>
              <w:rPr>
                <w:rFonts w:eastAsia="Times New Roman"/>
                <w:sz w:val="22"/>
                <w:szCs w:val="22"/>
              </w:rPr>
            </w:pPr>
          </w:p>
          <w:p w14:paraId="23D3512E" w14:textId="484F0652" w:rsidR="009555F2" w:rsidRPr="00A04CFD" w:rsidRDefault="009555F2" w:rsidP="00A04CFD">
            <w:pPr>
              <w:pStyle w:val="ListParagraph"/>
              <w:widowControl w:val="0"/>
              <w:spacing w:before="0" w:after="0"/>
              <w:ind w:left="60"/>
              <w:rPr>
                <w:rFonts w:eastAsia="Times New Roman"/>
                <w:sz w:val="22"/>
                <w:szCs w:val="22"/>
              </w:rPr>
            </w:pPr>
            <w:proofErr w:type="spellStart"/>
            <w:r w:rsidRPr="00A04CFD">
              <w:rPr>
                <w:rFonts w:eastAsia="Times New Roman"/>
                <w:sz w:val="22"/>
                <w:szCs w:val="22"/>
              </w:rPr>
              <w:t>Producția</w:t>
            </w:r>
            <w:proofErr w:type="spellEnd"/>
            <w:r w:rsidRPr="00A04CFD">
              <w:rPr>
                <w:rFonts w:eastAsia="Times New Roman"/>
                <w:sz w:val="22"/>
                <w:szCs w:val="22"/>
              </w:rPr>
              <w:t xml:space="preserve"> de </w:t>
            </w:r>
            <w:proofErr w:type="spellStart"/>
            <w:r w:rsidRPr="00A04CFD">
              <w:rPr>
                <w:rFonts w:eastAsia="Times New Roman"/>
                <w:sz w:val="22"/>
                <w:szCs w:val="22"/>
              </w:rPr>
              <w:t>energie</w:t>
            </w:r>
            <w:proofErr w:type="spellEnd"/>
            <w:r w:rsidRPr="00A04CFD">
              <w:rPr>
                <w:rFonts w:eastAsia="Times New Roman"/>
                <w:sz w:val="22"/>
                <w:szCs w:val="22"/>
              </w:rPr>
              <w:t xml:space="preserve"> din </w:t>
            </w:r>
            <w:proofErr w:type="spellStart"/>
            <w:r w:rsidRPr="00A04CFD">
              <w:rPr>
                <w:rFonts w:eastAsia="Times New Roman"/>
                <w:sz w:val="22"/>
                <w:szCs w:val="22"/>
              </w:rPr>
              <w:t>surse</w:t>
            </w:r>
            <w:proofErr w:type="spellEnd"/>
            <w:r w:rsidRPr="00A04CFD">
              <w:rPr>
                <w:rFonts w:eastAsia="Times New Roman"/>
                <w:sz w:val="22"/>
                <w:szCs w:val="22"/>
              </w:rPr>
              <w:t xml:space="preserve"> </w:t>
            </w:r>
            <w:proofErr w:type="spellStart"/>
            <w:r w:rsidRPr="00A04CFD">
              <w:rPr>
                <w:rFonts w:eastAsia="Times New Roman"/>
                <w:sz w:val="22"/>
                <w:szCs w:val="22"/>
              </w:rPr>
              <w:t>regenerabile</w:t>
            </w:r>
            <w:proofErr w:type="spellEnd"/>
            <w:r w:rsidRPr="00A04CFD">
              <w:rPr>
                <w:rFonts w:eastAsia="Times New Roman"/>
                <w:sz w:val="22"/>
                <w:szCs w:val="22"/>
              </w:rPr>
              <w:t xml:space="preserve"> are ca scop </w:t>
            </w:r>
            <w:proofErr w:type="spellStart"/>
            <w:r w:rsidRPr="00A04CFD">
              <w:rPr>
                <w:rFonts w:eastAsia="Times New Roman"/>
                <w:sz w:val="22"/>
                <w:szCs w:val="22"/>
              </w:rPr>
              <w:t>alimentarea</w:t>
            </w:r>
            <w:proofErr w:type="spellEnd"/>
            <w:r w:rsidRPr="00A04CFD">
              <w:rPr>
                <w:rFonts w:eastAsia="Times New Roman"/>
                <w:sz w:val="22"/>
                <w:szCs w:val="22"/>
              </w:rPr>
              <w:t xml:space="preserve"> </w:t>
            </w:r>
            <w:proofErr w:type="spellStart"/>
            <w:r w:rsidRPr="00A04CFD">
              <w:rPr>
                <w:rFonts w:eastAsia="Times New Roman"/>
                <w:sz w:val="22"/>
                <w:szCs w:val="22"/>
              </w:rPr>
              <w:t>clădirilor</w:t>
            </w:r>
            <w:proofErr w:type="spellEnd"/>
            <w:r w:rsidRPr="00A04CFD">
              <w:rPr>
                <w:rFonts w:eastAsia="Times New Roman"/>
                <w:sz w:val="22"/>
                <w:szCs w:val="22"/>
              </w:rPr>
              <w:t xml:space="preserve"> </w:t>
            </w:r>
            <w:proofErr w:type="spellStart"/>
            <w:r w:rsidRPr="00A04CFD">
              <w:rPr>
                <w:rFonts w:eastAsia="Times New Roman"/>
                <w:sz w:val="22"/>
                <w:szCs w:val="22"/>
              </w:rPr>
              <w:t>publice</w:t>
            </w:r>
            <w:proofErr w:type="spellEnd"/>
            <w:r w:rsidRPr="00A04CFD">
              <w:rPr>
                <w:rFonts w:eastAsia="Times New Roman"/>
                <w:sz w:val="22"/>
                <w:szCs w:val="22"/>
              </w:rPr>
              <w:t xml:space="preserve">, </w:t>
            </w:r>
            <w:proofErr w:type="spellStart"/>
            <w:r w:rsidRPr="00A04CFD">
              <w:rPr>
                <w:rFonts w:eastAsia="Times New Roman"/>
                <w:sz w:val="22"/>
                <w:szCs w:val="22"/>
              </w:rPr>
              <w:t>iluminatul</w:t>
            </w:r>
            <w:proofErr w:type="spellEnd"/>
            <w:r w:rsidRPr="00A04CFD">
              <w:rPr>
                <w:rFonts w:eastAsia="Times New Roman"/>
                <w:sz w:val="22"/>
                <w:szCs w:val="22"/>
              </w:rPr>
              <w:t xml:space="preserve"> public, </w:t>
            </w:r>
            <w:proofErr w:type="spellStart"/>
            <w:r w:rsidRPr="00A04CFD">
              <w:rPr>
                <w:rFonts w:eastAsia="Times New Roman"/>
                <w:sz w:val="22"/>
                <w:szCs w:val="22"/>
              </w:rPr>
              <w:t>transportul</w:t>
            </w:r>
            <w:proofErr w:type="spellEnd"/>
            <w:r w:rsidRPr="00A04CFD">
              <w:rPr>
                <w:rFonts w:eastAsia="Times New Roman"/>
                <w:sz w:val="22"/>
                <w:szCs w:val="22"/>
              </w:rPr>
              <w:t xml:space="preserve"> </w:t>
            </w:r>
            <w:proofErr w:type="spellStart"/>
            <w:r w:rsidRPr="00A04CFD">
              <w:rPr>
                <w:rFonts w:eastAsia="Times New Roman"/>
                <w:sz w:val="22"/>
                <w:szCs w:val="22"/>
              </w:rPr>
              <w:t>verde</w:t>
            </w:r>
            <w:proofErr w:type="spellEnd"/>
            <w:r w:rsidRPr="00A04CFD">
              <w:rPr>
                <w:rFonts w:eastAsia="Times New Roman"/>
                <w:sz w:val="22"/>
                <w:szCs w:val="22"/>
              </w:rPr>
              <w:t xml:space="preserve"> </w:t>
            </w:r>
            <w:proofErr w:type="spellStart"/>
            <w:r w:rsidRPr="00A04CFD">
              <w:rPr>
                <w:rFonts w:eastAsia="Times New Roman"/>
                <w:sz w:val="22"/>
                <w:szCs w:val="22"/>
              </w:rPr>
              <w:t>și</w:t>
            </w:r>
            <w:proofErr w:type="spellEnd"/>
            <w:r w:rsidRPr="00A04CFD">
              <w:rPr>
                <w:rFonts w:eastAsia="Times New Roman"/>
                <w:sz w:val="22"/>
                <w:szCs w:val="22"/>
              </w:rPr>
              <w:t xml:space="preserve"> nu </w:t>
            </w:r>
            <w:proofErr w:type="spellStart"/>
            <w:r w:rsidRPr="00A04CFD">
              <w:rPr>
                <w:rFonts w:eastAsia="Times New Roman"/>
                <w:sz w:val="22"/>
                <w:szCs w:val="22"/>
              </w:rPr>
              <w:t>generarea</w:t>
            </w:r>
            <w:proofErr w:type="spellEnd"/>
            <w:r w:rsidRPr="00A04CFD">
              <w:rPr>
                <w:rFonts w:eastAsia="Times New Roman"/>
                <w:sz w:val="22"/>
                <w:szCs w:val="22"/>
              </w:rPr>
              <w:t xml:space="preserve"> de </w:t>
            </w:r>
            <w:proofErr w:type="spellStart"/>
            <w:r w:rsidRPr="00A04CFD">
              <w:rPr>
                <w:rFonts w:eastAsia="Times New Roman"/>
                <w:sz w:val="22"/>
                <w:szCs w:val="22"/>
              </w:rPr>
              <w:t>venituri</w:t>
            </w:r>
            <w:proofErr w:type="spellEnd"/>
            <w:r w:rsidRPr="00A04CFD">
              <w:rPr>
                <w:rFonts w:eastAsia="Times New Roman"/>
                <w:sz w:val="22"/>
                <w:szCs w:val="22"/>
              </w:rPr>
              <w:t xml:space="preserve">. </w:t>
            </w:r>
            <w:proofErr w:type="spellStart"/>
            <w:r w:rsidRPr="00A04CFD">
              <w:rPr>
                <w:rFonts w:eastAsia="Times New Roman"/>
                <w:b/>
                <w:bCs/>
                <w:sz w:val="22"/>
                <w:szCs w:val="22"/>
              </w:rPr>
              <w:t>Eventualele</w:t>
            </w:r>
            <w:proofErr w:type="spellEnd"/>
            <w:r w:rsidRPr="00A04CFD">
              <w:rPr>
                <w:rFonts w:eastAsia="Times New Roman"/>
                <w:b/>
                <w:bCs/>
                <w:sz w:val="22"/>
                <w:szCs w:val="22"/>
              </w:rPr>
              <w:t xml:space="preserve"> </w:t>
            </w:r>
            <w:proofErr w:type="spellStart"/>
            <w:r w:rsidRPr="00A04CFD">
              <w:rPr>
                <w:rFonts w:eastAsia="Times New Roman"/>
                <w:b/>
                <w:bCs/>
                <w:sz w:val="22"/>
                <w:szCs w:val="22"/>
              </w:rPr>
              <w:t>venituri</w:t>
            </w:r>
            <w:proofErr w:type="spellEnd"/>
            <w:r w:rsidRPr="00A04CFD">
              <w:rPr>
                <w:rFonts w:eastAsia="Times New Roman"/>
                <w:b/>
                <w:bCs/>
                <w:sz w:val="22"/>
                <w:szCs w:val="22"/>
              </w:rPr>
              <w:t xml:space="preserve"> </w:t>
            </w:r>
            <w:proofErr w:type="spellStart"/>
            <w:r w:rsidRPr="00A04CFD">
              <w:rPr>
                <w:rFonts w:eastAsia="Times New Roman"/>
                <w:b/>
                <w:bCs/>
                <w:sz w:val="22"/>
                <w:szCs w:val="22"/>
              </w:rPr>
              <w:t>obținute</w:t>
            </w:r>
            <w:proofErr w:type="spellEnd"/>
            <w:r w:rsidRPr="00A04CFD">
              <w:rPr>
                <w:rFonts w:eastAsia="Times New Roman"/>
                <w:b/>
                <w:bCs/>
                <w:sz w:val="22"/>
                <w:szCs w:val="22"/>
              </w:rPr>
              <w:t xml:space="preserve"> </w:t>
            </w:r>
            <w:proofErr w:type="spellStart"/>
            <w:r w:rsidRPr="00A04CFD">
              <w:rPr>
                <w:rFonts w:eastAsia="Times New Roman"/>
                <w:b/>
                <w:bCs/>
                <w:sz w:val="22"/>
                <w:szCs w:val="22"/>
              </w:rPr>
              <w:t>vor</w:t>
            </w:r>
            <w:proofErr w:type="spellEnd"/>
            <w:r w:rsidRPr="00A04CFD">
              <w:rPr>
                <w:rFonts w:eastAsia="Times New Roman"/>
                <w:b/>
                <w:bCs/>
                <w:sz w:val="22"/>
                <w:szCs w:val="22"/>
              </w:rPr>
              <w:t xml:space="preserve"> fi </w:t>
            </w:r>
            <w:proofErr w:type="spellStart"/>
            <w:r w:rsidRPr="00A04CFD">
              <w:rPr>
                <w:rFonts w:eastAsia="Times New Roman"/>
                <w:b/>
                <w:bCs/>
                <w:sz w:val="22"/>
                <w:szCs w:val="22"/>
              </w:rPr>
              <w:t>utilizate</w:t>
            </w:r>
            <w:proofErr w:type="spellEnd"/>
            <w:r w:rsidRPr="00A04CFD">
              <w:rPr>
                <w:rFonts w:eastAsia="Times New Roman"/>
                <w:b/>
                <w:bCs/>
                <w:sz w:val="22"/>
                <w:szCs w:val="22"/>
              </w:rPr>
              <w:t xml:space="preserve"> </w:t>
            </w:r>
            <w:proofErr w:type="spellStart"/>
            <w:r w:rsidRPr="00A04CFD">
              <w:rPr>
                <w:rFonts w:eastAsia="Times New Roman"/>
                <w:b/>
                <w:bCs/>
                <w:sz w:val="22"/>
                <w:szCs w:val="22"/>
              </w:rPr>
              <w:t>pentru</w:t>
            </w:r>
            <w:proofErr w:type="spellEnd"/>
            <w:r w:rsidRPr="00A04CFD">
              <w:rPr>
                <w:rFonts w:eastAsia="Times New Roman"/>
                <w:b/>
                <w:bCs/>
                <w:sz w:val="22"/>
                <w:szCs w:val="22"/>
              </w:rPr>
              <w:t xml:space="preserve"> </w:t>
            </w:r>
            <w:proofErr w:type="spellStart"/>
            <w:r w:rsidRPr="00A04CFD">
              <w:rPr>
                <w:rFonts w:eastAsia="Times New Roman"/>
                <w:b/>
                <w:bCs/>
                <w:sz w:val="22"/>
                <w:szCs w:val="22"/>
              </w:rPr>
              <w:t>acoperirea</w:t>
            </w:r>
            <w:proofErr w:type="spellEnd"/>
            <w:r w:rsidRPr="00A04CFD">
              <w:rPr>
                <w:rFonts w:eastAsia="Times New Roman"/>
                <w:b/>
                <w:bCs/>
                <w:sz w:val="22"/>
                <w:szCs w:val="22"/>
              </w:rPr>
              <w:t xml:space="preserve"> </w:t>
            </w:r>
            <w:proofErr w:type="spellStart"/>
            <w:r w:rsidRPr="00A04CFD">
              <w:rPr>
                <w:rFonts w:eastAsia="Times New Roman"/>
                <w:b/>
                <w:bCs/>
                <w:sz w:val="22"/>
                <w:szCs w:val="22"/>
              </w:rPr>
              <w:t>costurilor</w:t>
            </w:r>
            <w:proofErr w:type="spellEnd"/>
            <w:r w:rsidRPr="00A04CFD">
              <w:rPr>
                <w:rFonts w:eastAsia="Times New Roman"/>
                <w:b/>
                <w:bCs/>
                <w:sz w:val="22"/>
                <w:szCs w:val="22"/>
              </w:rPr>
              <w:t xml:space="preserve"> de </w:t>
            </w:r>
            <w:proofErr w:type="spellStart"/>
            <w:r w:rsidRPr="00A04CFD">
              <w:rPr>
                <w:rFonts w:eastAsia="Times New Roman"/>
                <w:b/>
                <w:bCs/>
                <w:sz w:val="22"/>
                <w:szCs w:val="22"/>
              </w:rPr>
              <w:t>întreținere</w:t>
            </w:r>
            <w:proofErr w:type="spellEnd"/>
            <w:r w:rsidRPr="00A04CFD">
              <w:rPr>
                <w:rFonts w:eastAsia="Times New Roman"/>
                <w:b/>
                <w:bCs/>
                <w:sz w:val="22"/>
                <w:szCs w:val="22"/>
              </w:rPr>
              <w:t xml:space="preserve"> / </w:t>
            </w:r>
            <w:proofErr w:type="spellStart"/>
            <w:r w:rsidRPr="00A04CFD">
              <w:rPr>
                <w:rFonts w:eastAsia="Times New Roman"/>
                <w:b/>
                <w:bCs/>
                <w:sz w:val="22"/>
                <w:szCs w:val="22"/>
              </w:rPr>
              <w:t>scăderea</w:t>
            </w:r>
            <w:proofErr w:type="spellEnd"/>
            <w:r w:rsidRPr="00A04CFD">
              <w:rPr>
                <w:rFonts w:eastAsia="Times New Roman"/>
                <w:b/>
                <w:bCs/>
                <w:sz w:val="22"/>
                <w:szCs w:val="22"/>
              </w:rPr>
              <w:t xml:space="preserve"> </w:t>
            </w:r>
            <w:proofErr w:type="spellStart"/>
            <w:r w:rsidRPr="00A04CFD">
              <w:rPr>
                <w:rFonts w:eastAsia="Times New Roman"/>
                <w:b/>
                <w:bCs/>
                <w:sz w:val="22"/>
                <w:szCs w:val="22"/>
              </w:rPr>
              <w:t>costurilor</w:t>
            </w:r>
            <w:proofErr w:type="spellEnd"/>
            <w:r w:rsidRPr="00A04CFD">
              <w:rPr>
                <w:rFonts w:eastAsia="Times New Roman"/>
                <w:b/>
                <w:bCs/>
                <w:sz w:val="22"/>
                <w:szCs w:val="22"/>
              </w:rPr>
              <w:t xml:space="preserve"> </w:t>
            </w:r>
            <w:proofErr w:type="spellStart"/>
            <w:r w:rsidRPr="00A04CFD">
              <w:rPr>
                <w:rFonts w:eastAsia="Times New Roman"/>
                <w:b/>
                <w:bCs/>
                <w:sz w:val="22"/>
                <w:szCs w:val="22"/>
              </w:rPr>
              <w:t>totale</w:t>
            </w:r>
            <w:proofErr w:type="spellEnd"/>
            <w:r w:rsidRPr="00A04CFD">
              <w:rPr>
                <w:rFonts w:eastAsia="Times New Roman"/>
                <w:b/>
                <w:bCs/>
                <w:sz w:val="22"/>
                <w:szCs w:val="22"/>
              </w:rPr>
              <w:t xml:space="preserve"> </w:t>
            </w:r>
            <w:proofErr w:type="spellStart"/>
            <w:r w:rsidRPr="00A04CFD">
              <w:rPr>
                <w:rFonts w:eastAsia="Times New Roman"/>
                <w:b/>
                <w:bCs/>
                <w:sz w:val="22"/>
                <w:szCs w:val="22"/>
              </w:rPr>
              <w:t>pentru</w:t>
            </w:r>
            <w:proofErr w:type="spellEnd"/>
            <w:r w:rsidRPr="00A04CFD">
              <w:rPr>
                <w:rFonts w:eastAsia="Times New Roman"/>
                <w:b/>
                <w:bCs/>
                <w:sz w:val="22"/>
                <w:szCs w:val="22"/>
              </w:rPr>
              <w:t xml:space="preserve"> </w:t>
            </w:r>
            <w:proofErr w:type="spellStart"/>
            <w:r w:rsidRPr="00A04CFD">
              <w:rPr>
                <w:rFonts w:eastAsia="Times New Roman"/>
                <w:b/>
                <w:bCs/>
                <w:sz w:val="22"/>
                <w:szCs w:val="22"/>
              </w:rPr>
              <w:t>utilități</w:t>
            </w:r>
            <w:proofErr w:type="spellEnd"/>
            <w:r w:rsidRPr="00A04CFD">
              <w:rPr>
                <w:rFonts w:eastAsia="Times New Roman"/>
                <w:b/>
                <w:bCs/>
                <w:sz w:val="22"/>
                <w:szCs w:val="22"/>
              </w:rPr>
              <w:t xml:space="preserve"> </w:t>
            </w:r>
            <w:proofErr w:type="spellStart"/>
            <w:r w:rsidRPr="00A04CFD">
              <w:rPr>
                <w:rFonts w:eastAsia="Times New Roman"/>
                <w:b/>
                <w:bCs/>
                <w:sz w:val="22"/>
                <w:szCs w:val="22"/>
              </w:rPr>
              <w:t>sau</w:t>
            </w:r>
            <w:proofErr w:type="spellEnd"/>
            <w:r w:rsidRPr="00A04CFD">
              <w:rPr>
                <w:rFonts w:eastAsia="Times New Roman"/>
                <w:b/>
                <w:bCs/>
                <w:sz w:val="22"/>
                <w:szCs w:val="22"/>
              </w:rPr>
              <w:t xml:space="preserve"> </w:t>
            </w:r>
            <w:proofErr w:type="spellStart"/>
            <w:r w:rsidRPr="00A04CFD">
              <w:rPr>
                <w:rFonts w:eastAsia="Times New Roman"/>
                <w:b/>
                <w:bCs/>
                <w:sz w:val="22"/>
                <w:szCs w:val="22"/>
              </w:rPr>
              <w:t>conexe</w:t>
            </w:r>
            <w:proofErr w:type="spellEnd"/>
            <w:r w:rsidRPr="00A04CFD">
              <w:rPr>
                <w:rFonts w:eastAsia="Times New Roman"/>
                <w:b/>
                <w:bCs/>
                <w:sz w:val="22"/>
                <w:szCs w:val="22"/>
              </w:rPr>
              <w:t xml:space="preserve"> </w:t>
            </w:r>
            <w:proofErr w:type="spellStart"/>
            <w:r w:rsidRPr="00A04CFD">
              <w:rPr>
                <w:rFonts w:eastAsia="Times New Roman"/>
                <w:b/>
                <w:bCs/>
                <w:sz w:val="22"/>
                <w:szCs w:val="22"/>
              </w:rPr>
              <w:t>acestora</w:t>
            </w:r>
            <w:proofErr w:type="spellEnd"/>
            <w:r w:rsidRPr="00A04CFD">
              <w:rPr>
                <w:rFonts w:eastAsia="Times New Roman"/>
                <w:b/>
                <w:bCs/>
                <w:sz w:val="22"/>
                <w:szCs w:val="22"/>
              </w:rPr>
              <w:t>.</w:t>
            </w:r>
          </w:p>
          <w:p w14:paraId="2C144A4F" w14:textId="77777777" w:rsidR="00A04CFD" w:rsidRPr="00A04CFD" w:rsidRDefault="00A04CFD" w:rsidP="009555F2">
            <w:pPr>
              <w:pStyle w:val="ListParagraph"/>
              <w:widowControl w:val="0"/>
              <w:spacing w:before="0" w:after="0"/>
              <w:rPr>
                <w:rFonts w:eastAsia="Times New Roman"/>
                <w:sz w:val="22"/>
                <w:szCs w:val="22"/>
              </w:rPr>
            </w:pPr>
          </w:p>
          <w:p w14:paraId="31799C38" w14:textId="22B91322" w:rsidR="009555F2" w:rsidRPr="00A04CFD" w:rsidRDefault="009555F2">
            <w:pPr>
              <w:pStyle w:val="ListParagraph"/>
              <w:widowControl w:val="0"/>
              <w:numPr>
                <w:ilvl w:val="0"/>
                <w:numId w:val="40"/>
              </w:numPr>
              <w:spacing w:before="0" w:after="0"/>
              <w:rPr>
                <w:rFonts w:eastAsia="Times New Roman"/>
                <w:sz w:val="22"/>
                <w:szCs w:val="22"/>
              </w:rPr>
            </w:pP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consumul</w:t>
            </w:r>
            <w:proofErr w:type="spellEnd"/>
            <w:r w:rsidRPr="00A04CFD">
              <w:rPr>
                <w:rFonts w:eastAsia="Times New Roman"/>
                <w:sz w:val="22"/>
                <w:szCs w:val="22"/>
              </w:rPr>
              <w:t xml:space="preserve"> </w:t>
            </w:r>
            <w:proofErr w:type="spellStart"/>
            <w:r w:rsidRPr="00A04CFD">
              <w:rPr>
                <w:rFonts w:eastAsia="Times New Roman"/>
                <w:sz w:val="22"/>
                <w:szCs w:val="22"/>
              </w:rPr>
              <w:t>propriu</w:t>
            </w:r>
            <w:proofErr w:type="spellEnd"/>
            <w:r w:rsidRPr="00A04CFD">
              <w:rPr>
                <w:rFonts w:eastAsia="Times New Roman"/>
                <w:sz w:val="22"/>
                <w:szCs w:val="22"/>
              </w:rPr>
              <w:t xml:space="preserve"> al </w:t>
            </w:r>
            <w:proofErr w:type="spellStart"/>
            <w:r w:rsidRPr="00A04CFD">
              <w:rPr>
                <w:rFonts w:eastAsia="Times New Roman"/>
                <w:sz w:val="22"/>
                <w:szCs w:val="22"/>
              </w:rPr>
              <w:t>gospodăriilor</w:t>
            </w:r>
            <w:proofErr w:type="spellEnd"/>
            <w:r w:rsidRPr="00A04CFD">
              <w:rPr>
                <w:rFonts w:eastAsia="Times New Roman"/>
                <w:sz w:val="22"/>
                <w:szCs w:val="22"/>
              </w:rPr>
              <w:t xml:space="preserve"> </w:t>
            </w:r>
            <w:proofErr w:type="spellStart"/>
            <w:r w:rsidRPr="00A04CFD">
              <w:rPr>
                <w:rFonts w:eastAsia="Times New Roman"/>
                <w:sz w:val="22"/>
                <w:szCs w:val="22"/>
              </w:rPr>
              <w:t>individuale</w:t>
            </w:r>
            <w:proofErr w:type="spellEnd"/>
          </w:p>
          <w:p w14:paraId="3152A09E" w14:textId="282D6E7D" w:rsidR="009555F2" w:rsidRPr="00A04CFD" w:rsidRDefault="009555F2" w:rsidP="009555F2">
            <w:pPr>
              <w:pStyle w:val="ListParagraph"/>
              <w:widowControl w:val="0"/>
              <w:spacing w:before="0" w:after="0"/>
              <w:rPr>
                <w:rFonts w:eastAsia="Times New Roman"/>
                <w:sz w:val="22"/>
                <w:szCs w:val="22"/>
              </w:rPr>
            </w:pPr>
            <w:r w:rsidRPr="00A04CFD">
              <w:rPr>
                <w:rFonts w:eastAsia="Times New Roman"/>
                <w:sz w:val="22"/>
                <w:szCs w:val="22"/>
              </w:rPr>
              <w:t xml:space="preserve">Minim 3 kw </w:t>
            </w:r>
            <w:proofErr w:type="spellStart"/>
            <w:r w:rsidRPr="00A04CFD">
              <w:rPr>
                <w:rFonts w:eastAsia="Times New Roman"/>
                <w:sz w:val="22"/>
                <w:szCs w:val="22"/>
              </w:rPr>
              <w:t>și</w:t>
            </w:r>
            <w:proofErr w:type="spellEnd"/>
            <w:r w:rsidRPr="00A04CFD">
              <w:rPr>
                <w:rFonts w:eastAsia="Times New Roman"/>
                <w:sz w:val="22"/>
                <w:szCs w:val="22"/>
              </w:rPr>
              <w:t xml:space="preserve"> </w:t>
            </w:r>
            <w:proofErr w:type="gramStart"/>
            <w:r w:rsidRPr="00A04CFD">
              <w:rPr>
                <w:rFonts w:eastAsia="Times New Roman"/>
                <w:sz w:val="22"/>
                <w:szCs w:val="22"/>
              </w:rPr>
              <w:t>maxim  10</w:t>
            </w:r>
            <w:proofErr w:type="gramEnd"/>
            <w:r w:rsidRPr="00A04CFD">
              <w:rPr>
                <w:rFonts w:eastAsia="Times New Roman"/>
                <w:sz w:val="22"/>
                <w:szCs w:val="22"/>
              </w:rPr>
              <w:t xml:space="preserve"> kw capacitate </w:t>
            </w:r>
            <w:proofErr w:type="spellStart"/>
            <w:r w:rsidRPr="00A04CFD">
              <w:rPr>
                <w:rFonts w:eastAsia="Times New Roman"/>
                <w:sz w:val="22"/>
                <w:szCs w:val="22"/>
              </w:rPr>
              <w:t>netă</w:t>
            </w:r>
            <w:proofErr w:type="spellEnd"/>
            <w:r w:rsidRPr="00A04CFD">
              <w:rPr>
                <w:rFonts w:eastAsia="Times New Roman"/>
                <w:sz w:val="22"/>
                <w:szCs w:val="22"/>
              </w:rPr>
              <w:t xml:space="preserve"> </w:t>
            </w: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producția</w:t>
            </w:r>
            <w:proofErr w:type="spellEnd"/>
            <w:r w:rsidRPr="00A04CFD">
              <w:rPr>
                <w:rFonts w:eastAsia="Times New Roman"/>
                <w:sz w:val="22"/>
                <w:szCs w:val="22"/>
              </w:rPr>
              <w:t xml:space="preserve"> de </w:t>
            </w:r>
            <w:proofErr w:type="spellStart"/>
            <w:r w:rsidRPr="00A04CFD">
              <w:rPr>
                <w:rFonts w:eastAsia="Times New Roman"/>
                <w:sz w:val="22"/>
                <w:szCs w:val="22"/>
              </w:rPr>
              <w:t>energie</w:t>
            </w:r>
            <w:proofErr w:type="spellEnd"/>
            <w:r w:rsidRPr="00A04CFD">
              <w:rPr>
                <w:rFonts w:eastAsia="Times New Roman"/>
                <w:sz w:val="22"/>
                <w:szCs w:val="22"/>
              </w:rPr>
              <w:t xml:space="preserve"> </w:t>
            </w:r>
            <w:proofErr w:type="spellStart"/>
            <w:r w:rsidRPr="00A04CFD">
              <w:rPr>
                <w:rFonts w:eastAsia="Times New Roman"/>
                <w:sz w:val="22"/>
                <w:szCs w:val="22"/>
              </w:rPr>
              <w:t>electrică</w:t>
            </w:r>
            <w:proofErr w:type="spellEnd"/>
            <w:r w:rsidRPr="00A04CFD">
              <w:rPr>
                <w:rFonts w:eastAsia="Times New Roman"/>
                <w:sz w:val="22"/>
                <w:szCs w:val="22"/>
              </w:rPr>
              <w:t xml:space="preserve">, </w:t>
            </w: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fiecare</w:t>
            </w:r>
            <w:proofErr w:type="spellEnd"/>
            <w:r w:rsidRPr="00A04CFD">
              <w:rPr>
                <w:rFonts w:eastAsia="Times New Roman"/>
                <w:sz w:val="22"/>
                <w:szCs w:val="22"/>
              </w:rPr>
              <w:t xml:space="preserve"> </w:t>
            </w:r>
            <w:proofErr w:type="spellStart"/>
            <w:r w:rsidRPr="00A04CFD">
              <w:rPr>
                <w:rFonts w:eastAsia="Times New Roman"/>
                <w:sz w:val="22"/>
                <w:szCs w:val="22"/>
              </w:rPr>
              <w:t>gospodărie</w:t>
            </w:r>
            <w:proofErr w:type="spellEnd"/>
            <w:r w:rsidRPr="00A04CFD">
              <w:rPr>
                <w:rFonts w:eastAsia="Times New Roman"/>
                <w:sz w:val="22"/>
                <w:szCs w:val="22"/>
              </w:rPr>
              <w:t xml:space="preserve">, care </w:t>
            </w:r>
            <w:proofErr w:type="spellStart"/>
            <w:r w:rsidRPr="00A04CFD">
              <w:rPr>
                <w:rFonts w:eastAsia="Times New Roman"/>
                <w:sz w:val="22"/>
                <w:szCs w:val="22"/>
              </w:rPr>
              <w:t>și</w:t>
            </w:r>
            <w:proofErr w:type="spellEnd"/>
            <w:r w:rsidRPr="00A04CFD">
              <w:rPr>
                <w:rFonts w:eastAsia="Times New Roman"/>
                <w:sz w:val="22"/>
                <w:szCs w:val="22"/>
              </w:rPr>
              <w:t xml:space="preserve">-au </w:t>
            </w:r>
            <w:proofErr w:type="spellStart"/>
            <w:r w:rsidRPr="00A04CFD">
              <w:rPr>
                <w:rFonts w:eastAsia="Times New Roman"/>
                <w:sz w:val="22"/>
                <w:szCs w:val="22"/>
              </w:rPr>
              <w:t>exprimat</w:t>
            </w:r>
            <w:proofErr w:type="spellEnd"/>
            <w:r w:rsidRPr="00A04CFD">
              <w:rPr>
                <w:rFonts w:eastAsia="Times New Roman"/>
                <w:sz w:val="22"/>
                <w:szCs w:val="22"/>
              </w:rPr>
              <w:t xml:space="preserve"> </w:t>
            </w:r>
            <w:proofErr w:type="spellStart"/>
            <w:r w:rsidRPr="00A04CFD">
              <w:rPr>
                <w:rFonts w:eastAsia="Times New Roman"/>
                <w:sz w:val="22"/>
                <w:szCs w:val="22"/>
              </w:rPr>
              <w:t>intenția</w:t>
            </w:r>
            <w:proofErr w:type="spellEnd"/>
            <w:r w:rsidRPr="00A04CFD">
              <w:rPr>
                <w:rFonts w:eastAsia="Times New Roman"/>
                <w:sz w:val="22"/>
                <w:szCs w:val="22"/>
              </w:rPr>
              <w:t xml:space="preserve"> de a face </w:t>
            </w:r>
            <w:proofErr w:type="spellStart"/>
            <w:r w:rsidRPr="00A04CFD">
              <w:rPr>
                <w:rFonts w:eastAsia="Times New Roman"/>
                <w:sz w:val="22"/>
                <w:szCs w:val="22"/>
              </w:rPr>
              <w:t>parte</w:t>
            </w:r>
            <w:proofErr w:type="spellEnd"/>
            <w:r w:rsidRPr="00A04CFD">
              <w:rPr>
                <w:rFonts w:eastAsia="Times New Roman"/>
                <w:sz w:val="22"/>
                <w:szCs w:val="22"/>
              </w:rPr>
              <w:t xml:space="preserve"> din </w:t>
            </w:r>
            <w:proofErr w:type="spellStart"/>
            <w:r w:rsidRPr="00A04CFD">
              <w:rPr>
                <w:rFonts w:eastAsia="Times New Roman"/>
                <w:sz w:val="22"/>
                <w:szCs w:val="22"/>
              </w:rPr>
              <w:t>viitoarea</w:t>
            </w:r>
            <w:proofErr w:type="spellEnd"/>
            <w:r w:rsidRPr="00A04CFD">
              <w:rPr>
                <w:rFonts w:eastAsia="Times New Roman"/>
                <w:sz w:val="22"/>
                <w:szCs w:val="22"/>
              </w:rPr>
              <w:t xml:space="preserve"> </w:t>
            </w:r>
            <w:proofErr w:type="spellStart"/>
            <w:r w:rsidRPr="00A04CFD">
              <w:rPr>
                <w:rFonts w:eastAsia="Times New Roman"/>
                <w:sz w:val="22"/>
                <w:szCs w:val="22"/>
              </w:rPr>
              <w:t>comunitate</w:t>
            </w:r>
            <w:proofErr w:type="spellEnd"/>
            <w:r w:rsidRPr="00A04CFD">
              <w:rPr>
                <w:rFonts w:eastAsia="Times New Roman"/>
                <w:sz w:val="22"/>
                <w:szCs w:val="22"/>
              </w:rPr>
              <w:t xml:space="preserve"> de </w:t>
            </w:r>
            <w:proofErr w:type="spellStart"/>
            <w:r w:rsidRPr="00A04CFD">
              <w:rPr>
                <w:rFonts w:eastAsia="Times New Roman"/>
                <w:sz w:val="22"/>
                <w:szCs w:val="22"/>
              </w:rPr>
              <w:t>energie</w:t>
            </w:r>
            <w:proofErr w:type="spellEnd"/>
            <w:r w:rsidRPr="00A04CFD">
              <w:rPr>
                <w:rFonts w:eastAsia="Times New Roman"/>
                <w:sz w:val="22"/>
                <w:szCs w:val="22"/>
              </w:rPr>
              <w:t xml:space="preserve"> </w:t>
            </w:r>
            <w:proofErr w:type="spellStart"/>
            <w:r w:rsidRPr="00A04CFD">
              <w:rPr>
                <w:rFonts w:eastAsia="Times New Roman"/>
                <w:sz w:val="22"/>
                <w:szCs w:val="22"/>
              </w:rPr>
              <w:t>regenerabilă</w:t>
            </w:r>
            <w:proofErr w:type="spellEnd"/>
            <w:r w:rsidRPr="00A04CFD">
              <w:rPr>
                <w:rFonts w:eastAsia="Times New Roman"/>
                <w:sz w:val="22"/>
                <w:szCs w:val="22"/>
              </w:rPr>
              <w:t>.</w:t>
            </w:r>
          </w:p>
          <w:p w14:paraId="49E89DDF" w14:textId="48E5FD98" w:rsidR="009555F2" w:rsidRPr="00A04CFD" w:rsidRDefault="009555F2" w:rsidP="009555F2">
            <w:pPr>
              <w:pStyle w:val="ListParagraph"/>
              <w:widowControl w:val="0"/>
              <w:spacing w:before="0" w:after="0"/>
              <w:rPr>
                <w:rFonts w:eastAsia="Times New Roman"/>
                <w:sz w:val="22"/>
                <w:szCs w:val="22"/>
              </w:rPr>
            </w:pPr>
            <w:proofErr w:type="spellStart"/>
            <w:r w:rsidRPr="00A04CFD">
              <w:rPr>
                <w:rFonts w:eastAsia="Times New Roman"/>
                <w:sz w:val="22"/>
                <w:szCs w:val="22"/>
              </w:rPr>
              <w:t>Capacitățile</w:t>
            </w:r>
            <w:proofErr w:type="spellEnd"/>
            <w:r w:rsidRPr="00A04CFD">
              <w:rPr>
                <w:rFonts w:eastAsia="Times New Roman"/>
                <w:sz w:val="22"/>
                <w:szCs w:val="22"/>
              </w:rPr>
              <w:t xml:space="preserve"> solicitate </w:t>
            </w: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finanțare</w:t>
            </w:r>
            <w:proofErr w:type="spellEnd"/>
            <w:r w:rsidRPr="00A04CFD">
              <w:rPr>
                <w:rFonts w:eastAsia="Times New Roman"/>
                <w:sz w:val="22"/>
                <w:szCs w:val="22"/>
              </w:rPr>
              <w:t xml:space="preserve">, care </w:t>
            </w:r>
            <w:proofErr w:type="spellStart"/>
            <w:r w:rsidRPr="00A04CFD">
              <w:rPr>
                <w:rFonts w:eastAsia="Times New Roman"/>
                <w:sz w:val="22"/>
                <w:szCs w:val="22"/>
              </w:rPr>
              <w:t>urmează</w:t>
            </w:r>
            <w:proofErr w:type="spellEnd"/>
            <w:r w:rsidRPr="00A04CFD">
              <w:rPr>
                <w:rFonts w:eastAsia="Times New Roman"/>
                <w:sz w:val="22"/>
                <w:szCs w:val="22"/>
              </w:rPr>
              <w:t xml:space="preserve"> a fi </w:t>
            </w:r>
            <w:proofErr w:type="spellStart"/>
            <w:r w:rsidRPr="00A04CFD">
              <w:rPr>
                <w:rFonts w:eastAsia="Times New Roman"/>
                <w:sz w:val="22"/>
                <w:szCs w:val="22"/>
              </w:rPr>
              <w:t>instalate</w:t>
            </w:r>
            <w:proofErr w:type="spellEnd"/>
            <w:r w:rsidRPr="00A04CFD">
              <w:rPr>
                <w:rFonts w:eastAsia="Times New Roman"/>
                <w:sz w:val="22"/>
                <w:szCs w:val="22"/>
              </w:rPr>
              <w:t xml:space="preserve"> </w:t>
            </w:r>
            <w:proofErr w:type="spellStart"/>
            <w:r w:rsidRPr="00A04CFD">
              <w:rPr>
                <w:rFonts w:eastAsia="Times New Roman"/>
                <w:sz w:val="22"/>
                <w:szCs w:val="22"/>
              </w:rPr>
              <w:t>prin</w:t>
            </w:r>
            <w:proofErr w:type="spellEnd"/>
            <w:r w:rsidRPr="00A04CFD">
              <w:rPr>
                <w:rFonts w:eastAsia="Times New Roman"/>
                <w:sz w:val="22"/>
                <w:szCs w:val="22"/>
              </w:rPr>
              <w:t xml:space="preserve"> </w:t>
            </w:r>
            <w:proofErr w:type="spellStart"/>
            <w:r w:rsidRPr="00A04CFD">
              <w:rPr>
                <w:rFonts w:eastAsia="Times New Roman"/>
                <w:sz w:val="22"/>
                <w:szCs w:val="22"/>
              </w:rPr>
              <w:t>proiect</w:t>
            </w:r>
            <w:proofErr w:type="spellEnd"/>
            <w:r w:rsidRPr="00A04CFD">
              <w:rPr>
                <w:rFonts w:eastAsia="Times New Roman"/>
                <w:sz w:val="22"/>
                <w:szCs w:val="22"/>
              </w:rPr>
              <w:t xml:space="preserve"> se </w:t>
            </w:r>
            <w:proofErr w:type="spellStart"/>
            <w:r w:rsidRPr="00A04CFD">
              <w:rPr>
                <w:rFonts w:eastAsia="Times New Roman"/>
                <w:sz w:val="22"/>
                <w:szCs w:val="22"/>
              </w:rPr>
              <w:t>vor</w:t>
            </w:r>
            <w:proofErr w:type="spellEnd"/>
            <w:r w:rsidRPr="00A04CFD">
              <w:rPr>
                <w:rFonts w:eastAsia="Times New Roman"/>
                <w:sz w:val="22"/>
                <w:szCs w:val="22"/>
              </w:rPr>
              <w:t xml:space="preserve"> </w:t>
            </w:r>
            <w:proofErr w:type="spellStart"/>
            <w:r w:rsidRPr="00A04CFD">
              <w:rPr>
                <w:rFonts w:eastAsia="Times New Roman"/>
                <w:sz w:val="22"/>
                <w:szCs w:val="22"/>
              </w:rPr>
              <w:t>dimensiona</w:t>
            </w:r>
            <w:proofErr w:type="spellEnd"/>
            <w:r w:rsidRPr="00A04CFD">
              <w:rPr>
                <w:rFonts w:eastAsia="Times New Roman"/>
                <w:sz w:val="22"/>
                <w:szCs w:val="22"/>
              </w:rPr>
              <w:t xml:space="preserve"> </w:t>
            </w:r>
            <w:proofErr w:type="spellStart"/>
            <w:r w:rsidRPr="00A04CFD">
              <w:rPr>
                <w:rFonts w:eastAsia="Times New Roman"/>
                <w:sz w:val="22"/>
                <w:szCs w:val="22"/>
              </w:rPr>
              <w:lastRenderedPageBreak/>
              <w:t>funcție</w:t>
            </w:r>
            <w:proofErr w:type="spellEnd"/>
            <w:r w:rsidRPr="00A04CFD">
              <w:rPr>
                <w:rFonts w:eastAsia="Times New Roman"/>
                <w:sz w:val="22"/>
                <w:szCs w:val="22"/>
              </w:rPr>
              <w:t xml:space="preserve"> de </w:t>
            </w:r>
            <w:proofErr w:type="spellStart"/>
            <w:r w:rsidRPr="00A04CFD">
              <w:rPr>
                <w:rFonts w:eastAsia="Times New Roman"/>
                <w:sz w:val="22"/>
                <w:szCs w:val="22"/>
              </w:rPr>
              <w:t>necesarul</w:t>
            </w:r>
            <w:proofErr w:type="spellEnd"/>
            <w:r w:rsidRPr="00A04CFD">
              <w:rPr>
                <w:rFonts w:eastAsia="Times New Roman"/>
                <w:sz w:val="22"/>
                <w:szCs w:val="22"/>
              </w:rPr>
              <w:t xml:space="preserve"> de </w:t>
            </w:r>
            <w:proofErr w:type="spellStart"/>
            <w:r w:rsidRPr="00A04CFD">
              <w:rPr>
                <w:rFonts w:eastAsia="Times New Roman"/>
                <w:sz w:val="22"/>
                <w:szCs w:val="22"/>
              </w:rPr>
              <w:t>consum</w:t>
            </w:r>
            <w:proofErr w:type="spellEnd"/>
            <w:r w:rsidRPr="00A04CFD">
              <w:rPr>
                <w:rFonts w:eastAsia="Times New Roman"/>
                <w:sz w:val="22"/>
                <w:szCs w:val="22"/>
              </w:rPr>
              <w:t xml:space="preserve"> </w:t>
            </w:r>
            <w:proofErr w:type="gramStart"/>
            <w:r w:rsidRPr="00A04CFD">
              <w:rPr>
                <w:rFonts w:eastAsia="Times New Roman"/>
                <w:sz w:val="22"/>
                <w:szCs w:val="22"/>
              </w:rPr>
              <w:t xml:space="preserve">al  </w:t>
            </w:r>
            <w:proofErr w:type="spellStart"/>
            <w:r w:rsidRPr="00A04CFD">
              <w:rPr>
                <w:rFonts w:eastAsia="Times New Roman"/>
                <w:sz w:val="22"/>
                <w:szCs w:val="22"/>
              </w:rPr>
              <w:t>fiecărei</w:t>
            </w:r>
            <w:proofErr w:type="spellEnd"/>
            <w:proofErr w:type="gramEnd"/>
            <w:r w:rsidRPr="00A04CFD">
              <w:rPr>
                <w:rFonts w:eastAsia="Times New Roman"/>
                <w:sz w:val="22"/>
                <w:szCs w:val="22"/>
              </w:rPr>
              <w:t xml:space="preserve"> </w:t>
            </w:r>
            <w:proofErr w:type="spellStart"/>
            <w:r w:rsidRPr="00A04CFD">
              <w:rPr>
                <w:rFonts w:eastAsia="Times New Roman"/>
                <w:sz w:val="22"/>
                <w:szCs w:val="22"/>
              </w:rPr>
              <w:t>locații</w:t>
            </w:r>
            <w:proofErr w:type="spellEnd"/>
            <w:r w:rsidR="00C6278D">
              <w:rPr>
                <w:rFonts w:eastAsia="Times New Roman"/>
                <w:sz w:val="22"/>
                <w:szCs w:val="22"/>
              </w:rPr>
              <w:t>,</w:t>
            </w:r>
            <w:r w:rsidRPr="00A04CFD">
              <w:rPr>
                <w:rFonts w:eastAsia="Times New Roman"/>
                <w:sz w:val="22"/>
                <w:szCs w:val="22"/>
              </w:rPr>
              <w:t xml:space="preserve"> conform </w:t>
            </w:r>
            <w:proofErr w:type="spellStart"/>
            <w:r w:rsidRPr="00A04CFD">
              <w:rPr>
                <w:rFonts w:eastAsia="Times New Roman"/>
                <w:sz w:val="22"/>
                <w:szCs w:val="22"/>
              </w:rPr>
              <w:t>mediei</w:t>
            </w:r>
            <w:proofErr w:type="spellEnd"/>
            <w:r w:rsidRPr="00A04CFD">
              <w:rPr>
                <w:rFonts w:eastAsia="Times New Roman"/>
                <w:sz w:val="22"/>
                <w:szCs w:val="22"/>
              </w:rPr>
              <w:t xml:space="preserve"> </w:t>
            </w:r>
            <w:proofErr w:type="spellStart"/>
            <w:r w:rsidRPr="00A04CFD">
              <w:rPr>
                <w:rFonts w:eastAsia="Times New Roman"/>
                <w:sz w:val="22"/>
                <w:szCs w:val="22"/>
              </w:rPr>
              <w:t>consumurilor</w:t>
            </w:r>
            <w:proofErr w:type="spellEnd"/>
            <w:r w:rsidRPr="00A04CFD">
              <w:rPr>
                <w:rFonts w:eastAsia="Times New Roman"/>
                <w:sz w:val="22"/>
                <w:szCs w:val="22"/>
              </w:rPr>
              <w:t xml:space="preserve"> </w:t>
            </w:r>
            <w:proofErr w:type="spellStart"/>
            <w:r w:rsidRPr="00A04CFD">
              <w:rPr>
                <w:rFonts w:eastAsia="Times New Roman"/>
                <w:sz w:val="22"/>
                <w:szCs w:val="22"/>
              </w:rPr>
              <w:t>anterioare</w:t>
            </w:r>
            <w:proofErr w:type="spellEnd"/>
            <w:r w:rsidRPr="00A04CFD">
              <w:rPr>
                <w:rFonts w:eastAsia="Times New Roman"/>
                <w:sz w:val="22"/>
                <w:szCs w:val="22"/>
              </w:rPr>
              <w:t xml:space="preserve"> din </w:t>
            </w:r>
            <w:proofErr w:type="spellStart"/>
            <w:r w:rsidRPr="00A04CFD">
              <w:rPr>
                <w:rFonts w:eastAsia="Times New Roman"/>
                <w:sz w:val="22"/>
                <w:szCs w:val="22"/>
              </w:rPr>
              <w:t>ultimele</w:t>
            </w:r>
            <w:proofErr w:type="spellEnd"/>
            <w:r w:rsidRPr="00A04CFD">
              <w:rPr>
                <w:rFonts w:eastAsia="Times New Roman"/>
                <w:sz w:val="22"/>
                <w:szCs w:val="22"/>
              </w:rPr>
              <w:t xml:space="preserve"> 12 </w:t>
            </w:r>
            <w:proofErr w:type="spellStart"/>
            <w:r w:rsidRPr="00A04CFD">
              <w:rPr>
                <w:rFonts w:eastAsia="Times New Roman"/>
                <w:sz w:val="22"/>
                <w:szCs w:val="22"/>
              </w:rPr>
              <w:t>luni</w:t>
            </w:r>
            <w:proofErr w:type="spellEnd"/>
            <w:r w:rsidRPr="00A04CFD">
              <w:rPr>
                <w:rFonts w:eastAsia="Times New Roman"/>
                <w:sz w:val="22"/>
                <w:szCs w:val="22"/>
              </w:rPr>
              <w:t>.</w:t>
            </w:r>
          </w:p>
          <w:p w14:paraId="491ED8DB" w14:textId="77777777" w:rsidR="009555F2" w:rsidRPr="00A04CFD" w:rsidRDefault="009555F2" w:rsidP="009555F2">
            <w:pPr>
              <w:pStyle w:val="ListParagraph"/>
              <w:widowControl w:val="0"/>
              <w:spacing w:before="0" w:after="0"/>
              <w:rPr>
                <w:rFonts w:eastAsia="Times New Roman"/>
                <w:sz w:val="22"/>
                <w:szCs w:val="22"/>
              </w:rPr>
            </w:pPr>
          </w:p>
          <w:p w14:paraId="1AB61B5B" w14:textId="77777777" w:rsidR="009555F2" w:rsidRPr="00A04CFD" w:rsidRDefault="009555F2" w:rsidP="009555F2">
            <w:pPr>
              <w:pStyle w:val="ListParagraph"/>
              <w:widowControl w:val="0"/>
              <w:spacing w:before="0" w:after="0"/>
              <w:rPr>
                <w:rFonts w:eastAsia="Times New Roman"/>
                <w:sz w:val="22"/>
                <w:szCs w:val="22"/>
              </w:rPr>
            </w:pPr>
          </w:p>
          <w:p w14:paraId="297AF0E9" w14:textId="7BFD50FF" w:rsidR="009555F2" w:rsidRPr="00A04CFD" w:rsidRDefault="009555F2" w:rsidP="009555F2">
            <w:pPr>
              <w:pStyle w:val="ListParagraph"/>
              <w:widowControl w:val="0"/>
              <w:spacing w:before="0" w:after="0"/>
              <w:ind w:left="60"/>
              <w:rPr>
                <w:rFonts w:eastAsia="Times New Roman"/>
                <w:sz w:val="22"/>
                <w:szCs w:val="22"/>
              </w:rPr>
            </w:pPr>
            <w:proofErr w:type="spellStart"/>
            <w:r w:rsidRPr="00A04CFD">
              <w:rPr>
                <w:rFonts w:eastAsia="Times New Roman"/>
                <w:sz w:val="22"/>
                <w:szCs w:val="22"/>
              </w:rPr>
              <w:t>Producția</w:t>
            </w:r>
            <w:proofErr w:type="spellEnd"/>
            <w:r w:rsidRPr="00A04CFD">
              <w:rPr>
                <w:rFonts w:eastAsia="Times New Roman"/>
                <w:sz w:val="22"/>
                <w:szCs w:val="22"/>
              </w:rPr>
              <w:t xml:space="preserve"> de </w:t>
            </w:r>
            <w:proofErr w:type="spellStart"/>
            <w:r w:rsidRPr="00A04CFD">
              <w:rPr>
                <w:rFonts w:eastAsia="Times New Roman"/>
                <w:sz w:val="22"/>
                <w:szCs w:val="22"/>
              </w:rPr>
              <w:t>energie</w:t>
            </w:r>
            <w:proofErr w:type="spellEnd"/>
            <w:r w:rsidRPr="00A04CFD">
              <w:rPr>
                <w:rFonts w:eastAsia="Times New Roman"/>
                <w:sz w:val="22"/>
                <w:szCs w:val="22"/>
              </w:rPr>
              <w:t xml:space="preserve"> din </w:t>
            </w:r>
            <w:proofErr w:type="spellStart"/>
            <w:r w:rsidRPr="00A04CFD">
              <w:rPr>
                <w:rFonts w:eastAsia="Times New Roman"/>
                <w:sz w:val="22"/>
                <w:szCs w:val="22"/>
              </w:rPr>
              <w:t>surse</w:t>
            </w:r>
            <w:proofErr w:type="spellEnd"/>
            <w:r w:rsidRPr="00A04CFD">
              <w:rPr>
                <w:rFonts w:eastAsia="Times New Roman"/>
                <w:sz w:val="22"/>
                <w:szCs w:val="22"/>
              </w:rPr>
              <w:t xml:space="preserve"> </w:t>
            </w:r>
            <w:proofErr w:type="spellStart"/>
            <w:r w:rsidRPr="00A04CFD">
              <w:rPr>
                <w:rFonts w:eastAsia="Times New Roman"/>
                <w:sz w:val="22"/>
                <w:szCs w:val="22"/>
              </w:rPr>
              <w:t>regenerabile</w:t>
            </w:r>
            <w:proofErr w:type="spellEnd"/>
            <w:r w:rsidRPr="00A04CFD">
              <w:rPr>
                <w:rFonts w:eastAsia="Times New Roman"/>
                <w:sz w:val="22"/>
                <w:szCs w:val="22"/>
              </w:rPr>
              <w:t xml:space="preserve"> are ca scop </w:t>
            </w:r>
            <w:proofErr w:type="spellStart"/>
            <w:r w:rsidRPr="00A04CFD">
              <w:rPr>
                <w:rFonts w:eastAsia="Times New Roman"/>
                <w:sz w:val="22"/>
                <w:szCs w:val="22"/>
              </w:rPr>
              <w:t>acoperirea</w:t>
            </w:r>
            <w:proofErr w:type="spellEnd"/>
            <w:r w:rsidRPr="00A04CFD">
              <w:rPr>
                <w:rFonts w:eastAsia="Times New Roman"/>
                <w:sz w:val="22"/>
                <w:szCs w:val="22"/>
              </w:rPr>
              <w:t xml:space="preserve"> </w:t>
            </w:r>
            <w:proofErr w:type="spellStart"/>
            <w:r w:rsidRPr="00A04CFD">
              <w:rPr>
                <w:rFonts w:eastAsia="Times New Roman"/>
                <w:sz w:val="22"/>
                <w:szCs w:val="22"/>
              </w:rPr>
              <w:t>consumurilor</w:t>
            </w:r>
            <w:proofErr w:type="spellEnd"/>
            <w:r w:rsidRPr="00A04CFD">
              <w:rPr>
                <w:rFonts w:eastAsia="Times New Roman"/>
                <w:sz w:val="22"/>
                <w:szCs w:val="22"/>
              </w:rPr>
              <w:t xml:space="preserve"> </w:t>
            </w:r>
            <w:proofErr w:type="spellStart"/>
            <w:r w:rsidRPr="00A04CFD">
              <w:rPr>
                <w:rFonts w:eastAsia="Times New Roman"/>
                <w:sz w:val="22"/>
                <w:szCs w:val="22"/>
              </w:rPr>
              <w:t>gospodăriilor</w:t>
            </w:r>
            <w:proofErr w:type="spellEnd"/>
            <w:r w:rsidRPr="00A04CFD">
              <w:rPr>
                <w:rFonts w:eastAsia="Times New Roman"/>
                <w:sz w:val="22"/>
                <w:szCs w:val="22"/>
              </w:rPr>
              <w:t xml:space="preserve"> care </w:t>
            </w:r>
            <w:proofErr w:type="spellStart"/>
            <w:r w:rsidRPr="00A04CFD">
              <w:rPr>
                <w:rFonts w:eastAsia="Times New Roman"/>
                <w:sz w:val="22"/>
                <w:szCs w:val="22"/>
              </w:rPr>
              <w:t>vor</w:t>
            </w:r>
            <w:proofErr w:type="spellEnd"/>
            <w:r w:rsidRPr="00A04CFD">
              <w:rPr>
                <w:rFonts w:eastAsia="Times New Roman"/>
                <w:sz w:val="22"/>
                <w:szCs w:val="22"/>
              </w:rPr>
              <w:t xml:space="preserve"> face </w:t>
            </w:r>
            <w:proofErr w:type="spellStart"/>
            <w:r w:rsidRPr="00A04CFD">
              <w:rPr>
                <w:rFonts w:eastAsia="Times New Roman"/>
                <w:sz w:val="22"/>
                <w:szCs w:val="22"/>
              </w:rPr>
              <w:t>parte</w:t>
            </w:r>
            <w:proofErr w:type="spellEnd"/>
            <w:r w:rsidRPr="00A04CFD">
              <w:rPr>
                <w:rFonts w:eastAsia="Times New Roman"/>
                <w:sz w:val="22"/>
                <w:szCs w:val="22"/>
              </w:rPr>
              <w:t xml:space="preserve"> din </w:t>
            </w:r>
            <w:proofErr w:type="spellStart"/>
            <w:r w:rsidRPr="00A04CFD">
              <w:rPr>
                <w:rFonts w:eastAsia="Times New Roman"/>
                <w:sz w:val="22"/>
                <w:szCs w:val="22"/>
              </w:rPr>
              <w:t>viitoarea</w:t>
            </w:r>
            <w:proofErr w:type="spellEnd"/>
            <w:r w:rsidRPr="00A04CFD">
              <w:rPr>
                <w:rFonts w:eastAsia="Times New Roman"/>
                <w:sz w:val="22"/>
                <w:szCs w:val="22"/>
              </w:rPr>
              <w:t xml:space="preserve"> </w:t>
            </w:r>
            <w:proofErr w:type="spellStart"/>
            <w:r w:rsidRPr="00A04CFD">
              <w:rPr>
                <w:rFonts w:eastAsia="Times New Roman"/>
                <w:sz w:val="22"/>
                <w:szCs w:val="22"/>
              </w:rPr>
              <w:t>comunitate</w:t>
            </w:r>
            <w:proofErr w:type="spellEnd"/>
            <w:r w:rsidRPr="00A04CFD">
              <w:rPr>
                <w:rFonts w:eastAsia="Times New Roman"/>
                <w:sz w:val="22"/>
                <w:szCs w:val="22"/>
              </w:rPr>
              <w:t xml:space="preserve"> de </w:t>
            </w:r>
            <w:proofErr w:type="spellStart"/>
            <w:r w:rsidRPr="00A04CFD">
              <w:rPr>
                <w:rFonts w:eastAsia="Times New Roman"/>
                <w:sz w:val="22"/>
                <w:szCs w:val="22"/>
              </w:rPr>
              <w:t>energie</w:t>
            </w:r>
            <w:proofErr w:type="spellEnd"/>
            <w:r w:rsidRPr="00A04CFD">
              <w:rPr>
                <w:rFonts w:eastAsia="Times New Roman"/>
                <w:sz w:val="22"/>
                <w:szCs w:val="22"/>
              </w:rPr>
              <w:t xml:space="preserve">, </w:t>
            </w:r>
            <w:proofErr w:type="spellStart"/>
            <w:r w:rsidRPr="00A04CFD">
              <w:rPr>
                <w:rFonts w:eastAsia="Times New Roman"/>
                <w:sz w:val="22"/>
                <w:szCs w:val="22"/>
              </w:rPr>
              <w:t>exclusiv</w:t>
            </w:r>
            <w:proofErr w:type="spellEnd"/>
            <w:r w:rsidRPr="00A04CFD">
              <w:rPr>
                <w:rFonts w:eastAsia="Times New Roman"/>
                <w:sz w:val="22"/>
                <w:szCs w:val="22"/>
              </w:rPr>
              <w:t xml:space="preserve"> </w:t>
            </w:r>
            <w:proofErr w:type="spellStart"/>
            <w:r w:rsidRPr="00A04CFD">
              <w:rPr>
                <w:rFonts w:eastAsia="Times New Roman"/>
                <w:sz w:val="22"/>
                <w:szCs w:val="22"/>
              </w:rPr>
              <w:t>pentru</w:t>
            </w:r>
            <w:proofErr w:type="spellEnd"/>
            <w:r w:rsidRPr="00A04CFD">
              <w:rPr>
                <w:rFonts w:eastAsia="Times New Roman"/>
                <w:sz w:val="22"/>
                <w:szCs w:val="22"/>
              </w:rPr>
              <w:t xml:space="preserve"> </w:t>
            </w:r>
            <w:proofErr w:type="spellStart"/>
            <w:r w:rsidRPr="00A04CFD">
              <w:rPr>
                <w:rFonts w:eastAsia="Times New Roman"/>
                <w:sz w:val="22"/>
                <w:szCs w:val="22"/>
              </w:rPr>
              <w:t>persoane</w:t>
            </w:r>
            <w:proofErr w:type="spellEnd"/>
            <w:r w:rsidRPr="00A04CFD">
              <w:rPr>
                <w:rFonts w:eastAsia="Times New Roman"/>
                <w:sz w:val="22"/>
                <w:szCs w:val="22"/>
              </w:rPr>
              <w:t xml:space="preserve"> </w:t>
            </w:r>
            <w:proofErr w:type="spellStart"/>
            <w:r w:rsidRPr="00A04CFD">
              <w:rPr>
                <w:rFonts w:eastAsia="Times New Roman"/>
                <w:sz w:val="22"/>
                <w:szCs w:val="22"/>
              </w:rPr>
              <w:t>fizice</w:t>
            </w:r>
            <w:proofErr w:type="spellEnd"/>
            <w:r w:rsidRPr="00A04CFD">
              <w:rPr>
                <w:rFonts w:eastAsia="Times New Roman"/>
                <w:sz w:val="22"/>
                <w:szCs w:val="22"/>
              </w:rPr>
              <w:t xml:space="preserve">. </w:t>
            </w:r>
            <w:proofErr w:type="spellStart"/>
            <w:r w:rsidRPr="00A04CFD">
              <w:rPr>
                <w:rFonts w:eastAsia="Times New Roman"/>
                <w:b/>
                <w:bCs/>
                <w:sz w:val="22"/>
                <w:szCs w:val="22"/>
              </w:rPr>
              <w:t>Eventuale</w:t>
            </w:r>
            <w:proofErr w:type="spellEnd"/>
            <w:r w:rsidRPr="00A04CFD">
              <w:rPr>
                <w:rFonts w:eastAsia="Times New Roman"/>
                <w:b/>
                <w:bCs/>
                <w:sz w:val="22"/>
                <w:szCs w:val="22"/>
              </w:rPr>
              <w:t xml:space="preserve"> </w:t>
            </w:r>
            <w:proofErr w:type="spellStart"/>
            <w:r w:rsidRPr="00A04CFD">
              <w:rPr>
                <w:rFonts w:eastAsia="Times New Roman"/>
                <w:b/>
                <w:bCs/>
                <w:sz w:val="22"/>
                <w:szCs w:val="22"/>
              </w:rPr>
              <w:t>venituri</w:t>
            </w:r>
            <w:proofErr w:type="spellEnd"/>
            <w:r w:rsidRPr="00A04CFD">
              <w:rPr>
                <w:rFonts w:eastAsia="Times New Roman"/>
                <w:b/>
                <w:bCs/>
                <w:sz w:val="22"/>
                <w:szCs w:val="22"/>
              </w:rPr>
              <w:t xml:space="preserve"> </w:t>
            </w:r>
            <w:proofErr w:type="spellStart"/>
            <w:r w:rsidRPr="00A04CFD">
              <w:rPr>
                <w:rFonts w:eastAsia="Times New Roman"/>
                <w:b/>
                <w:bCs/>
                <w:sz w:val="22"/>
                <w:szCs w:val="22"/>
              </w:rPr>
              <w:t>obținute</w:t>
            </w:r>
            <w:proofErr w:type="spellEnd"/>
            <w:r w:rsidRPr="00A04CFD">
              <w:rPr>
                <w:rFonts w:eastAsia="Times New Roman"/>
                <w:b/>
                <w:bCs/>
                <w:sz w:val="22"/>
                <w:szCs w:val="22"/>
              </w:rPr>
              <w:t xml:space="preserve"> </w:t>
            </w:r>
            <w:proofErr w:type="spellStart"/>
            <w:r w:rsidRPr="00A04CFD">
              <w:rPr>
                <w:rFonts w:eastAsia="Times New Roman"/>
                <w:b/>
                <w:bCs/>
                <w:sz w:val="22"/>
                <w:szCs w:val="22"/>
              </w:rPr>
              <w:t>vor</w:t>
            </w:r>
            <w:proofErr w:type="spellEnd"/>
            <w:r w:rsidRPr="00A04CFD">
              <w:rPr>
                <w:rFonts w:eastAsia="Times New Roman"/>
                <w:b/>
                <w:bCs/>
                <w:sz w:val="22"/>
                <w:szCs w:val="22"/>
              </w:rPr>
              <w:t xml:space="preserve"> fi </w:t>
            </w:r>
            <w:proofErr w:type="spellStart"/>
            <w:r w:rsidRPr="00A04CFD">
              <w:rPr>
                <w:rFonts w:eastAsia="Times New Roman"/>
                <w:b/>
                <w:bCs/>
                <w:sz w:val="22"/>
                <w:szCs w:val="22"/>
              </w:rPr>
              <w:t>direcționate</w:t>
            </w:r>
            <w:proofErr w:type="spellEnd"/>
            <w:r w:rsidRPr="00A04CFD">
              <w:rPr>
                <w:rFonts w:eastAsia="Times New Roman"/>
                <w:b/>
                <w:bCs/>
                <w:sz w:val="22"/>
                <w:szCs w:val="22"/>
              </w:rPr>
              <w:t xml:space="preserve"> </w:t>
            </w:r>
            <w:proofErr w:type="spellStart"/>
            <w:r w:rsidRPr="00A04CFD">
              <w:rPr>
                <w:rFonts w:eastAsia="Times New Roman"/>
                <w:b/>
                <w:bCs/>
                <w:sz w:val="22"/>
                <w:szCs w:val="22"/>
              </w:rPr>
              <w:t>pentru</w:t>
            </w:r>
            <w:proofErr w:type="spellEnd"/>
            <w:r w:rsidRPr="00A04CFD">
              <w:rPr>
                <w:rFonts w:eastAsia="Times New Roman"/>
                <w:b/>
                <w:bCs/>
                <w:sz w:val="22"/>
                <w:szCs w:val="22"/>
              </w:rPr>
              <w:t xml:space="preserve"> </w:t>
            </w:r>
            <w:proofErr w:type="spellStart"/>
            <w:r w:rsidRPr="00A04CFD">
              <w:rPr>
                <w:rFonts w:eastAsia="Times New Roman"/>
                <w:b/>
                <w:bCs/>
                <w:sz w:val="22"/>
                <w:szCs w:val="22"/>
              </w:rPr>
              <w:t>acoperirea</w:t>
            </w:r>
            <w:proofErr w:type="spellEnd"/>
            <w:r w:rsidRPr="00A04CFD">
              <w:rPr>
                <w:rFonts w:eastAsia="Times New Roman"/>
                <w:b/>
                <w:bCs/>
                <w:sz w:val="22"/>
                <w:szCs w:val="22"/>
              </w:rPr>
              <w:t xml:space="preserve"> </w:t>
            </w:r>
            <w:proofErr w:type="spellStart"/>
            <w:r w:rsidRPr="00A04CFD">
              <w:rPr>
                <w:rFonts w:eastAsia="Times New Roman"/>
                <w:b/>
                <w:bCs/>
                <w:sz w:val="22"/>
                <w:szCs w:val="22"/>
              </w:rPr>
              <w:t>costurilor</w:t>
            </w:r>
            <w:proofErr w:type="spellEnd"/>
            <w:r w:rsidRPr="00A04CFD">
              <w:rPr>
                <w:rFonts w:eastAsia="Times New Roman"/>
                <w:b/>
                <w:bCs/>
                <w:sz w:val="22"/>
                <w:szCs w:val="22"/>
              </w:rPr>
              <w:t xml:space="preserve"> de </w:t>
            </w:r>
            <w:proofErr w:type="spellStart"/>
            <w:r w:rsidRPr="00A04CFD">
              <w:rPr>
                <w:rFonts w:eastAsia="Times New Roman"/>
                <w:b/>
                <w:bCs/>
                <w:sz w:val="22"/>
                <w:szCs w:val="22"/>
              </w:rPr>
              <w:t>întreținere</w:t>
            </w:r>
            <w:proofErr w:type="spellEnd"/>
            <w:r w:rsidRPr="00A04CFD">
              <w:rPr>
                <w:rFonts w:eastAsia="Times New Roman"/>
                <w:b/>
                <w:bCs/>
                <w:sz w:val="22"/>
                <w:szCs w:val="22"/>
              </w:rPr>
              <w:t xml:space="preserve"> </w:t>
            </w:r>
            <w:proofErr w:type="spellStart"/>
            <w:r w:rsidRPr="00A04CFD">
              <w:rPr>
                <w:rFonts w:eastAsia="Times New Roman"/>
                <w:b/>
                <w:bCs/>
                <w:sz w:val="22"/>
                <w:szCs w:val="22"/>
              </w:rPr>
              <w:t>și</w:t>
            </w:r>
            <w:proofErr w:type="spellEnd"/>
            <w:r w:rsidRPr="00A04CFD">
              <w:rPr>
                <w:rFonts w:eastAsia="Times New Roman"/>
                <w:b/>
                <w:bCs/>
                <w:sz w:val="22"/>
                <w:szCs w:val="22"/>
              </w:rPr>
              <w:t xml:space="preserve"> </w:t>
            </w:r>
            <w:proofErr w:type="spellStart"/>
            <w:r w:rsidRPr="00A04CFD">
              <w:rPr>
                <w:rFonts w:eastAsia="Times New Roman"/>
                <w:b/>
                <w:bCs/>
                <w:sz w:val="22"/>
                <w:szCs w:val="22"/>
              </w:rPr>
              <w:t>mentenanță</w:t>
            </w:r>
            <w:proofErr w:type="spellEnd"/>
            <w:r w:rsidRPr="00A04CFD">
              <w:rPr>
                <w:rFonts w:eastAsia="Times New Roman"/>
                <w:b/>
                <w:bCs/>
                <w:sz w:val="22"/>
                <w:szCs w:val="22"/>
              </w:rPr>
              <w:t xml:space="preserve"> </w:t>
            </w:r>
            <w:proofErr w:type="spellStart"/>
            <w:r w:rsidRPr="00A04CFD">
              <w:rPr>
                <w:rFonts w:eastAsia="Times New Roman"/>
                <w:b/>
                <w:bCs/>
                <w:sz w:val="22"/>
                <w:szCs w:val="22"/>
              </w:rPr>
              <w:t>specifice</w:t>
            </w:r>
            <w:proofErr w:type="spellEnd"/>
            <w:r w:rsidRPr="00A04CFD">
              <w:rPr>
                <w:rFonts w:eastAsia="Times New Roman"/>
                <w:b/>
                <w:bCs/>
                <w:sz w:val="22"/>
                <w:szCs w:val="22"/>
              </w:rPr>
              <w:t xml:space="preserve"> </w:t>
            </w:r>
            <w:proofErr w:type="spellStart"/>
            <w:r w:rsidRPr="00A04CFD">
              <w:rPr>
                <w:rFonts w:eastAsia="Times New Roman"/>
                <w:b/>
                <w:bCs/>
                <w:sz w:val="22"/>
                <w:szCs w:val="22"/>
              </w:rPr>
              <w:t>comunității</w:t>
            </w:r>
            <w:proofErr w:type="spellEnd"/>
            <w:r w:rsidRPr="00A04CFD">
              <w:rPr>
                <w:rFonts w:eastAsia="Times New Roman"/>
                <w:b/>
                <w:bCs/>
                <w:sz w:val="22"/>
                <w:szCs w:val="22"/>
              </w:rPr>
              <w:t xml:space="preserve"> de </w:t>
            </w:r>
            <w:proofErr w:type="spellStart"/>
            <w:r w:rsidRPr="00A04CFD">
              <w:rPr>
                <w:rFonts w:eastAsia="Times New Roman"/>
                <w:b/>
                <w:bCs/>
                <w:sz w:val="22"/>
                <w:szCs w:val="22"/>
              </w:rPr>
              <w:t>energie</w:t>
            </w:r>
            <w:proofErr w:type="spellEnd"/>
            <w:r w:rsidRPr="00A04CFD">
              <w:rPr>
                <w:rFonts w:eastAsia="Times New Roman"/>
                <w:b/>
                <w:bCs/>
                <w:sz w:val="22"/>
                <w:szCs w:val="22"/>
              </w:rPr>
              <w:t xml:space="preserve">, precum </w:t>
            </w:r>
            <w:proofErr w:type="spellStart"/>
            <w:r w:rsidRPr="00A04CFD">
              <w:rPr>
                <w:rFonts w:eastAsia="Times New Roman"/>
                <w:b/>
                <w:bCs/>
                <w:sz w:val="22"/>
                <w:szCs w:val="22"/>
              </w:rPr>
              <w:t>și</w:t>
            </w:r>
            <w:proofErr w:type="spellEnd"/>
            <w:r w:rsidRPr="00A04CFD">
              <w:rPr>
                <w:rFonts w:eastAsia="Times New Roman"/>
                <w:b/>
                <w:bCs/>
                <w:sz w:val="22"/>
                <w:szCs w:val="22"/>
              </w:rPr>
              <w:t xml:space="preserve"> </w:t>
            </w:r>
            <w:proofErr w:type="spellStart"/>
            <w:r w:rsidRPr="00A04CFD">
              <w:rPr>
                <w:rFonts w:eastAsia="Times New Roman"/>
                <w:b/>
                <w:bCs/>
                <w:sz w:val="22"/>
                <w:szCs w:val="22"/>
              </w:rPr>
              <w:t>pentru</w:t>
            </w:r>
            <w:proofErr w:type="spellEnd"/>
            <w:r w:rsidRPr="00A04CFD">
              <w:rPr>
                <w:rFonts w:eastAsia="Times New Roman"/>
                <w:b/>
                <w:bCs/>
                <w:sz w:val="22"/>
                <w:szCs w:val="22"/>
              </w:rPr>
              <w:t xml:space="preserve"> </w:t>
            </w:r>
            <w:proofErr w:type="spellStart"/>
            <w:r w:rsidRPr="00A04CFD">
              <w:rPr>
                <w:rFonts w:eastAsia="Times New Roman"/>
                <w:b/>
                <w:bCs/>
                <w:sz w:val="22"/>
                <w:szCs w:val="22"/>
              </w:rPr>
              <w:t>cheltuielile</w:t>
            </w:r>
            <w:proofErr w:type="spellEnd"/>
            <w:r w:rsidRPr="00A04CFD">
              <w:rPr>
                <w:rFonts w:eastAsia="Times New Roman"/>
                <w:b/>
                <w:bCs/>
                <w:sz w:val="22"/>
                <w:szCs w:val="22"/>
              </w:rPr>
              <w:t xml:space="preserve"> din </w:t>
            </w:r>
            <w:proofErr w:type="spellStart"/>
            <w:r w:rsidRPr="00A04CFD">
              <w:rPr>
                <w:rFonts w:eastAsia="Times New Roman"/>
                <w:b/>
                <w:bCs/>
                <w:sz w:val="22"/>
                <w:szCs w:val="22"/>
              </w:rPr>
              <w:t>cadrul</w:t>
            </w:r>
            <w:proofErr w:type="spellEnd"/>
            <w:r w:rsidRPr="00A04CFD">
              <w:rPr>
                <w:rFonts w:eastAsia="Times New Roman"/>
                <w:b/>
                <w:bCs/>
                <w:sz w:val="22"/>
                <w:szCs w:val="22"/>
              </w:rPr>
              <w:t xml:space="preserve"> </w:t>
            </w:r>
            <w:proofErr w:type="spellStart"/>
            <w:r w:rsidRPr="00A04CFD">
              <w:rPr>
                <w:rFonts w:eastAsia="Times New Roman"/>
                <w:b/>
                <w:bCs/>
                <w:sz w:val="22"/>
                <w:szCs w:val="22"/>
              </w:rPr>
              <w:t>procesului</w:t>
            </w:r>
            <w:proofErr w:type="spellEnd"/>
            <w:r w:rsidRPr="00A04CFD">
              <w:rPr>
                <w:rFonts w:eastAsia="Times New Roman"/>
                <w:b/>
                <w:bCs/>
                <w:sz w:val="22"/>
                <w:szCs w:val="22"/>
              </w:rPr>
              <w:t xml:space="preserve"> de </w:t>
            </w:r>
            <w:proofErr w:type="spellStart"/>
            <w:r w:rsidRPr="00A04CFD">
              <w:rPr>
                <w:rFonts w:eastAsia="Times New Roman"/>
                <w:b/>
                <w:bCs/>
                <w:sz w:val="22"/>
                <w:szCs w:val="22"/>
              </w:rPr>
              <w:t>creare</w:t>
            </w:r>
            <w:proofErr w:type="spellEnd"/>
            <w:r w:rsidRPr="00A04CFD">
              <w:rPr>
                <w:rFonts w:eastAsia="Times New Roman"/>
                <w:b/>
                <w:bCs/>
                <w:sz w:val="22"/>
                <w:szCs w:val="22"/>
              </w:rPr>
              <w:t xml:space="preserve"> </w:t>
            </w:r>
            <w:proofErr w:type="gramStart"/>
            <w:r w:rsidRPr="00A04CFD">
              <w:rPr>
                <w:rFonts w:eastAsia="Times New Roman"/>
                <w:b/>
                <w:bCs/>
                <w:sz w:val="22"/>
                <w:szCs w:val="22"/>
              </w:rPr>
              <w:t>a</w:t>
            </w:r>
            <w:proofErr w:type="gramEnd"/>
            <w:r w:rsidRPr="00A04CFD">
              <w:rPr>
                <w:rFonts w:eastAsia="Times New Roman"/>
                <w:b/>
                <w:bCs/>
                <w:sz w:val="22"/>
                <w:szCs w:val="22"/>
              </w:rPr>
              <w:t xml:space="preserve"> </w:t>
            </w:r>
            <w:proofErr w:type="spellStart"/>
            <w:r w:rsidRPr="00A04CFD">
              <w:rPr>
                <w:rFonts w:eastAsia="Times New Roman"/>
                <w:b/>
                <w:bCs/>
                <w:sz w:val="22"/>
                <w:szCs w:val="22"/>
              </w:rPr>
              <w:t>acestei</w:t>
            </w:r>
            <w:proofErr w:type="spellEnd"/>
            <w:r w:rsidRPr="00A04CFD">
              <w:rPr>
                <w:rFonts w:eastAsia="Times New Roman"/>
                <w:b/>
                <w:bCs/>
                <w:sz w:val="22"/>
                <w:szCs w:val="22"/>
              </w:rPr>
              <w:t xml:space="preserve"> </w:t>
            </w:r>
            <w:proofErr w:type="spellStart"/>
            <w:r w:rsidRPr="00A04CFD">
              <w:rPr>
                <w:rFonts w:eastAsia="Times New Roman"/>
                <w:b/>
                <w:bCs/>
                <w:sz w:val="22"/>
                <w:szCs w:val="22"/>
              </w:rPr>
              <w:t>comunități</w:t>
            </w:r>
            <w:proofErr w:type="spellEnd"/>
            <w:r w:rsidRPr="00A04CFD">
              <w:rPr>
                <w:rFonts w:eastAsia="Times New Roman"/>
                <w:b/>
                <w:bCs/>
                <w:sz w:val="22"/>
                <w:szCs w:val="22"/>
              </w:rPr>
              <w:t xml:space="preserve">, </w:t>
            </w:r>
            <w:proofErr w:type="spellStart"/>
            <w:r w:rsidRPr="00A04CFD">
              <w:rPr>
                <w:rFonts w:eastAsia="Times New Roman"/>
                <w:b/>
                <w:bCs/>
                <w:sz w:val="22"/>
                <w:szCs w:val="22"/>
              </w:rPr>
              <w:t>dacă</w:t>
            </w:r>
            <w:proofErr w:type="spellEnd"/>
            <w:r w:rsidRPr="00A04CFD">
              <w:rPr>
                <w:rFonts w:eastAsia="Times New Roman"/>
                <w:b/>
                <w:bCs/>
                <w:sz w:val="22"/>
                <w:szCs w:val="22"/>
              </w:rPr>
              <w:t xml:space="preserve"> se </w:t>
            </w:r>
            <w:proofErr w:type="spellStart"/>
            <w:r w:rsidRPr="00A04CFD">
              <w:rPr>
                <w:rFonts w:eastAsia="Times New Roman"/>
                <w:b/>
                <w:bCs/>
                <w:sz w:val="22"/>
                <w:szCs w:val="22"/>
              </w:rPr>
              <w:t>consideră</w:t>
            </w:r>
            <w:proofErr w:type="spellEnd"/>
            <w:r w:rsidRPr="00A04CFD">
              <w:rPr>
                <w:rFonts w:eastAsia="Times New Roman"/>
                <w:b/>
                <w:bCs/>
                <w:sz w:val="22"/>
                <w:szCs w:val="22"/>
              </w:rPr>
              <w:t xml:space="preserve"> </w:t>
            </w:r>
            <w:proofErr w:type="spellStart"/>
            <w:r w:rsidRPr="00A04CFD">
              <w:rPr>
                <w:rFonts w:eastAsia="Times New Roman"/>
                <w:b/>
                <w:bCs/>
                <w:sz w:val="22"/>
                <w:szCs w:val="22"/>
              </w:rPr>
              <w:t>necesar</w:t>
            </w:r>
            <w:proofErr w:type="spellEnd"/>
            <w:r w:rsidRPr="00A04CFD">
              <w:rPr>
                <w:rFonts w:eastAsia="Times New Roman"/>
                <w:sz w:val="22"/>
                <w:szCs w:val="22"/>
              </w:rPr>
              <w:t>.</w:t>
            </w:r>
          </w:p>
          <w:p w14:paraId="1BF4D247" w14:textId="77777777" w:rsidR="009555F2" w:rsidRPr="009555F2" w:rsidRDefault="009555F2">
            <w:pPr>
              <w:widowControl w:val="0"/>
              <w:spacing w:before="0" w:after="0"/>
              <w:ind w:left="0"/>
              <w:rPr>
                <w:rFonts w:eastAsia="Times New Roman"/>
                <w:sz w:val="22"/>
                <w:szCs w:val="22"/>
              </w:rPr>
            </w:pPr>
          </w:p>
          <w:p w14:paraId="2AB194FF" w14:textId="77777777" w:rsidR="00A657B7" w:rsidRPr="009555F2" w:rsidRDefault="00A657B7">
            <w:pPr>
              <w:widowControl w:val="0"/>
              <w:spacing w:before="0" w:after="0"/>
              <w:ind w:left="0"/>
              <w:rPr>
                <w:sz w:val="22"/>
                <w:szCs w:val="22"/>
              </w:rPr>
            </w:pPr>
          </w:p>
          <w:p w14:paraId="79ADB18E" w14:textId="77777777" w:rsidR="00A657B7" w:rsidRPr="009555F2" w:rsidRDefault="00245051">
            <w:pPr>
              <w:widowControl w:val="0"/>
              <w:spacing w:before="0" w:after="0"/>
              <w:ind w:left="0"/>
              <w:jc w:val="left"/>
              <w:rPr>
                <w:sz w:val="22"/>
                <w:szCs w:val="22"/>
              </w:rPr>
            </w:pPr>
            <w:r w:rsidRPr="009555F2">
              <w:rPr>
                <w:rFonts w:eastAsia="Times New Roman"/>
                <w:sz w:val="22"/>
                <w:szCs w:val="22"/>
              </w:rPr>
              <w:t xml:space="preserve">Nu sunt </w:t>
            </w:r>
            <w:proofErr w:type="spellStart"/>
            <w:r w:rsidRPr="009555F2">
              <w:rPr>
                <w:rFonts w:eastAsia="Times New Roman"/>
                <w:sz w:val="22"/>
                <w:szCs w:val="22"/>
              </w:rPr>
              <w:t>eligibile</w:t>
            </w:r>
            <w:proofErr w:type="spellEnd"/>
            <w:r w:rsidRPr="009555F2">
              <w:rPr>
                <w:rFonts w:eastAsia="Times New Roman"/>
                <w:sz w:val="22"/>
                <w:szCs w:val="22"/>
              </w:rPr>
              <w:t xml:space="preserve"> </w:t>
            </w:r>
            <w:proofErr w:type="spellStart"/>
            <w:r w:rsidRPr="009555F2">
              <w:rPr>
                <w:rFonts w:eastAsia="Times New Roman"/>
                <w:sz w:val="22"/>
                <w:szCs w:val="22"/>
              </w:rPr>
              <w:t>investițiile</w:t>
            </w:r>
            <w:proofErr w:type="spellEnd"/>
            <w:r w:rsidRPr="009555F2">
              <w:rPr>
                <w:rFonts w:eastAsia="Times New Roman"/>
                <w:sz w:val="22"/>
                <w:szCs w:val="22"/>
              </w:rPr>
              <w:t xml:space="preserve"> care </w:t>
            </w:r>
            <w:proofErr w:type="spellStart"/>
            <w:r w:rsidRPr="009555F2">
              <w:rPr>
                <w:rFonts w:eastAsia="Times New Roman"/>
                <w:sz w:val="22"/>
                <w:szCs w:val="22"/>
              </w:rPr>
              <w:t>utilizează</w:t>
            </w:r>
            <w:proofErr w:type="spellEnd"/>
            <w:r w:rsidRPr="009555F2">
              <w:rPr>
                <w:rFonts w:eastAsia="Times New Roman"/>
                <w:sz w:val="22"/>
                <w:szCs w:val="22"/>
              </w:rPr>
              <w:t xml:space="preserve"> </w:t>
            </w:r>
            <w:proofErr w:type="spellStart"/>
            <w:r w:rsidRPr="009555F2">
              <w:rPr>
                <w:rFonts w:eastAsia="Times New Roman"/>
                <w:sz w:val="22"/>
                <w:szCs w:val="22"/>
              </w:rPr>
              <w:t>biomasa</w:t>
            </w:r>
            <w:proofErr w:type="spellEnd"/>
            <w:r w:rsidRPr="009555F2">
              <w:rPr>
                <w:rFonts w:eastAsia="Times New Roman"/>
                <w:sz w:val="22"/>
                <w:szCs w:val="22"/>
              </w:rPr>
              <w:t>.</w:t>
            </w:r>
          </w:p>
          <w:p w14:paraId="17819A43" w14:textId="77777777" w:rsidR="00A657B7" w:rsidRDefault="00245051">
            <w:pPr>
              <w:widowControl w:val="0"/>
              <w:spacing w:before="0" w:after="0"/>
              <w:ind w:left="0"/>
              <w:jc w:val="left"/>
              <w:rPr>
                <w:rFonts w:eastAsia="Times New Roman"/>
                <w:sz w:val="22"/>
                <w:szCs w:val="22"/>
              </w:rPr>
            </w:pPr>
            <w:r w:rsidRPr="009555F2">
              <w:rPr>
                <w:rFonts w:eastAsia="Times New Roman"/>
                <w:sz w:val="22"/>
                <w:szCs w:val="22"/>
              </w:rPr>
              <w:t xml:space="preserve">Nu se admit ca </w:t>
            </w:r>
            <w:proofErr w:type="spellStart"/>
            <w:r w:rsidRPr="009555F2">
              <w:rPr>
                <w:rFonts w:eastAsia="Times New Roman"/>
                <w:sz w:val="22"/>
                <w:szCs w:val="22"/>
              </w:rPr>
              <w:t>surse</w:t>
            </w:r>
            <w:proofErr w:type="spellEnd"/>
            <w:r w:rsidRPr="009555F2">
              <w:rPr>
                <w:rFonts w:eastAsia="Times New Roman"/>
                <w:sz w:val="22"/>
                <w:szCs w:val="22"/>
              </w:rPr>
              <w:t xml:space="preserve"> </w:t>
            </w:r>
            <w:proofErr w:type="spellStart"/>
            <w:r w:rsidRPr="009555F2">
              <w:rPr>
                <w:rFonts w:eastAsia="Times New Roman"/>
                <w:sz w:val="22"/>
                <w:szCs w:val="22"/>
              </w:rPr>
              <w:t>combustibilii</w:t>
            </w:r>
            <w:proofErr w:type="spellEnd"/>
            <w:r w:rsidRPr="009555F2">
              <w:rPr>
                <w:rFonts w:eastAsia="Times New Roman"/>
                <w:sz w:val="22"/>
                <w:szCs w:val="22"/>
              </w:rPr>
              <w:t xml:space="preserve"> </w:t>
            </w:r>
            <w:proofErr w:type="spellStart"/>
            <w:r w:rsidRPr="009555F2">
              <w:rPr>
                <w:rFonts w:eastAsia="Times New Roman"/>
                <w:sz w:val="22"/>
                <w:szCs w:val="22"/>
              </w:rPr>
              <w:t>fosili</w:t>
            </w:r>
            <w:proofErr w:type="spellEnd"/>
            <w:r w:rsidRPr="009555F2">
              <w:rPr>
                <w:rFonts w:eastAsia="Times New Roman"/>
                <w:sz w:val="22"/>
                <w:szCs w:val="22"/>
              </w:rPr>
              <w:t>.</w:t>
            </w:r>
          </w:p>
          <w:p w14:paraId="6207B19D" w14:textId="77777777" w:rsidR="00A657B7" w:rsidRPr="00882FDF" w:rsidRDefault="00A657B7">
            <w:pPr>
              <w:widowControl w:val="0"/>
              <w:spacing w:before="0" w:after="0"/>
              <w:ind w:left="0"/>
              <w:rPr>
                <w:b/>
                <w:bCs/>
                <w:i/>
                <w:sz w:val="22"/>
                <w:szCs w:val="22"/>
                <w:highlight w:val="yellow"/>
              </w:rPr>
            </w:pPr>
          </w:p>
          <w:p w14:paraId="5C35B37E" w14:textId="155645B5" w:rsidR="00A657B7" w:rsidRPr="00A04CFD" w:rsidRDefault="00245051">
            <w:pPr>
              <w:widowControl w:val="0"/>
              <w:spacing w:before="0" w:after="0"/>
              <w:ind w:left="0"/>
              <w:rPr>
                <w:rFonts w:eastAsia="Times New Roman"/>
                <w:b/>
                <w:bCs/>
                <w:i/>
                <w:sz w:val="22"/>
                <w:szCs w:val="22"/>
              </w:rPr>
            </w:pPr>
            <w:proofErr w:type="spellStart"/>
            <w:r w:rsidRPr="00A04CFD">
              <w:rPr>
                <w:rFonts w:eastAsia="Times New Roman"/>
                <w:b/>
                <w:bCs/>
                <w:i/>
                <w:sz w:val="22"/>
                <w:szCs w:val="22"/>
              </w:rPr>
              <w:t>Realizarea</w:t>
            </w:r>
            <w:proofErr w:type="spellEnd"/>
            <w:r w:rsidRPr="00A04CFD">
              <w:rPr>
                <w:rFonts w:eastAsia="Times New Roman"/>
                <w:b/>
                <w:bCs/>
                <w:i/>
                <w:sz w:val="22"/>
                <w:szCs w:val="22"/>
              </w:rPr>
              <w:t xml:space="preserve"> de </w:t>
            </w:r>
            <w:proofErr w:type="spellStart"/>
            <w:r w:rsidRPr="00A04CFD">
              <w:rPr>
                <w:rFonts w:eastAsia="Times New Roman"/>
                <w:b/>
                <w:bCs/>
                <w:i/>
                <w:sz w:val="22"/>
                <w:szCs w:val="22"/>
              </w:rPr>
              <w:t>capacități</w:t>
            </w:r>
            <w:proofErr w:type="spellEnd"/>
            <w:r w:rsidRPr="00A04CFD">
              <w:rPr>
                <w:rFonts w:eastAsia="Times New Roman"/>
                <w:b/>
                <w:bCs/>
                <w:i/>
                <w:sz w:val="22"/>
                <w:szCs w:val="22"/>
              </w:rPr>
              <w:t xml:space="preserve"> de </w:t>
            </w:r>
            <w:proofErr w:type="spellStart"/>
            <w:r w:rsidRPr="00A04CFD">
              <w:rPr>
                <w:rFonts w:eastAsia="Times New Roman"/>
                <w:b/>
                <w:bCs/>
                <w:i/>
                <w:sz w:val="22"/>
                <w:szCs w:val="22"/>
              </w:rPr>
              <w:t>producție</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ce</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depășesc</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necesarul</w:t>
            </w:r>
            <w:proofErr w:type="spellEnd"/>
            <w:r w:rsidRPr="00A04CFD">
              <w:rPr>
                <w:rFonts w:eastAsia="Times New Roman"/>
                <w:b/>
                <w:bCs/>
                <w:i/>
                <w:sz w:val="22"/>
                <w:szCs w:val="22"/>
              </w:rPr>
              <w:t xml:space="preserve"> de </w:t>
            </w:r>
            <w:proofErr w:type="spellStart"/>
            <w:r w:rsidRPr="00A04CFD">
              <w:rPr>
                <w:rFonts w:eastAsia="Times New Roman"/>
                <w:b/>
                <w:bCs/>
                <w:i/>
                <w:sz w:val="22"/>
                <w:szCs w:val="22"/>
              </w:rPr>
              <w:t>consum</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stabilit</w:t>
            </w:r>
            <w:proofErr w:type="spellEnd"/>
            <w:r w:rsidRPr="00A04CFD">
              <w:rPr>
                <w:rFonts w:eastAsia="Times New Roman"/>
                <w:b/>
                <w:bCs/>
                <w:i/>
                <w:sz w:val="22"/>
                <w:szCs w:val="22"/>
              </w:rPr>
              <w:t xml:space="preserve"> conform </w:t>
            </w:r>
            <w:proofErr w:type="spellStart"/>
            <w:r w:rsidRPr="00A04CFD">
              <w:rPr>
                <w:rFonts w:eastAsia="Times New Roman"/>
                <w:b/>
                <w:bCs/>
                <w:i/>
                <w:sz w:val="22"/>
                <w:szCs w:val="22"/>
              </w:rPr>
              <w:t>analizei</w:t>
            </w:r>
            <w:proofErr w:type="spellEnd"/>
            <w:r w:rsidRPr="00A04CFD">
              <w:rPr>
                <w:rFonts w:eastAsia="Times New Roman"/>
                <w:b/>
                <w:bCs/>
                <w:i/>
                <w:sz w:val="22"/>
                <w:szCs w:val="22"/>
              </w:rPr>
              <w:t xml:space="preserve"> </w:t>
            </w:r>
            <w:proofErr w:type="spellStart"/>
            <w:r w:rsidR="00C6278D">
              <w:rPr>
                <w:rFonts w:eastAsia="Times New Roman"/>
                <w:b/>
                <w:bCs/>
                <w:i/>
                <w:sz w:val="22"/>
                <w:szCs w:val="22"/>
              </w:rPr>
              <w:t>privind</w:t>
            </w:r>
            <w:proofErr w:type="spellEnd"/>
            <w:r w:rsidR="00C6278D">
              <w:rPr>
                <w:rFonts w:eastAsia="Times New Roman"/>
                <w:b/>
                <w:bCs/>
                <w:i/>
                <w:sz w:val="22"/>
                <w:szCs w:val="22"/>
              </w:rPr>
              <w:t xml:space="preserve"> </w:t>
            </w:r>
            <w:proofErr w:type="spellStart"/>
            <w:r w:rsidR="00C6278D">
              <w:rPr>
                <w:rFonts w:eastAsia="Times New Roman"/>
                <w:b/>
                <w:bCs/>
                <w:i/>
                <w:sz w:val="22"/>
                <w:szCs w:val="22"/>
              </w:rPr>
              <w:t>necesarul</w:t>
            </w:r>
            <w:proofErr w:type="spellEnd"/>
            <w:r w:rsidR="00C6278D">
              <w:rPr>
                <w:rFonts w:eastAsia="Times New Roman"/>
                <w:b/>
                <w:bCs/>
                <w:i/>
                <w:sz w:val="22"/>
                <w:szCs w:val="22"/>
              </w:rPr>
              <w:t xml:space="preserve"> de </w:t>
            </w:r>
            <w:proofErr w:type="spellStart"/>
            <w:r w:rsidR="00C6278D">
              <w:rPr>
                <w:rFonts w:eastAsia="Times New Roman"/>
                <w:b/>
                <w:bCs/>
                <w:i/>
                <w:sz w:val="22"/>
                <w:szCs w:val="22"/>
              </w:rPr>
              <w:t>energie</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implică</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ajutor</w:t>
            </w:r>
            <w:proofErr w:type="spellEnd"/>
            <w:r w:rsidRPr="00A04CFD">
              <w:rPr>
                <w:rFonts w:eastAsia="Times New Roman"/>
                <w:b/>
                <w:bCs/>
                <w:i/>
                <w:sz w:val="22"/>
                <w:szCs w:val="22"/>
              </w:rPr>
              <w:t xml:space="preserve"> de stat </w:t>
            </w:r>
            <w:proofErr w:type="spellStart"/>
            <w:r w:rsidRPr="00A04CFD">
              <w:rPr>
                <w:rFonts w:eastAsia="Times New Roman"/>
                <w:b/>
                <w:bCs/>
                <w:i/>
                <w:sz w:val="22"/>
                <w:szCs w:val="22"/>
              </w:rPr>
              <w:t>și</w:t>
            </w:r>
            <w:proofErr w:type="spellEnd"/>
            <w:r w:rsidRPr="00A04CFD">
              <w:rPr>
                <w:rFonts w:eastAsia="Times New Roman"/>
                <w:b/>
                <w:bCs/>
                <w:i/>
                <w:sz w:val="22"/>
                <w:szCs w:val="22"/>
              </w:rPr>
              <w:t xml:space="preserve"> nu sunt </w:t>
            </w:r>
            <w:proofErr w:type="spellStart"/>
            <w:r w:rsidRPr="00A04CFD">
              <w:rPr>
                <w:rFonts w:eastAsia="Times New Roman"/>
                <w:b/>
                <w:bCs/>
                <w:i/>
                <w:sz w:val="22"/>
                <w:szCs w:val="22"/>
              </w:rPr>
              <w:t>eligibile</w:t>
            </w:r>
            <w:proofErr w:type="spellEnd"/>
            <w:r w:rsidRPr="00A04CFD">
              <w:rPr>
                <w:rFonts w:eastAsia="Times New Roman"/>
                <w:b/>
                <w:bCs/>
                <w:i/>
                <w:sz w:val="22"/>
                <w:szCs w:val="22"/>
              </w:rPr>
              <w:t>.</w:t>
            </w:r>
          </w:p>
          <w:p w14:paraId="21257FFF" w14:textId="77777777" w:rsidR="00A04CFD" w:rsidRPr="00A04CFD" w:rsidRDefault="00A04CFD">
            <w:pPr>
              <w:widowControl w:val="0"/>
              <w:spacing w:before="0" w:after="0"/>
              <w:ind w:left="0"/>
              <w:rPr>
                <w:b/>
                <w:bCs/>
                <w:i/>
                <w:sz w:val="22"/>
                <w:szCs w:val="22"/>
              </w:rPr>
            </w:pPr>
          </w:p>
          <w:p w14:paraId="1333D25A" w14:textId="36AC1654" w:rsidR="00A657B7" w:rsidRPr="00A04CFD" w:rsidRDefault="00245051">
            <w:pPr>
              <w:widowControl w:val="0"/>
              <w:spacing w:before="0" w:after="0"/>
              <w:ind w:left="0"/>
              <w:rPr>
                <w:b/>
                <w:bCs/>
                <w:i/>
                <w:sz w:val="22"/>
                <w:szCs w:val="22"/>
              </w:rPr>
            </w:pPr>
            <w:r w:rsidRPr="00A04CFD">
              <w:rPr>
                <w:rFonts w:eastAsia="Times New Roman"/>
                <w:b/>
                <w:bCs/>
                <w:i/>
                <w:sz w:val="22"/>
                <w:szCs w:val="22"/>
              </w:rPr>
              <w:t xml:space="preserve">Sursa de </w:t>
            </w:r>
            <w:proofErr w:type="spellStart"/>
            <w:r w:rsidRPr="00A04CFD">
              <w:rPr>
                <w:rFonts w:eastAsia="Times New Roman"/>
                <w:b/>
                <w:bCs/>
                <w:i/>
                <w:sz w:val="22"/>
                <w:szCs w:val="22"/>
              </w:rPr>
              <w:t>energie</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instalația</w:t>
            </w:r>
            <w:proofErr w:type="spellEnd"/>
            <w:r w:rsidRPr="00A04CFD">
              <w:rPr>
                <w:rFonts w:eastAsia="Times New Roman"/>
                <w:b/>
                <w:bCs/>
                <w:i/>
                <w:sz w:val="22"/>
                <w:szCs w:val="22"/>
              </w:rPr>
              <w:t>/</w:t>
            </w:r>
            <w:proofErr w:type="spellStart"/>
            <w:r w:rsidRPr="00A04CFD">
              <w:rPr>
                <w:rFonts w:eastAsia="Times New Roman"/>
                <w:b/>
                <w:bCs/>
                <w:i/>
                <w:sz w:val="22"/>
                <w:szCs w:val="22"/>
              </w:rPr>
              <w:t>capacitatea</w:t>
            </w:r>
            <w:proofErr w:type="spellEnd"/>
            <w:r w:rsidRPr="00A04CFD">
              <w:rPr>
                <w:rFonts w:eastAsia="Times New Roman"/>
                <w:b/>
                <w:bCs/>
                <w:i/>
                <w:sz w:val="22"/>
                <w:szCs w:val="22"/>
              </w:rPr>
              <w:t xml:space="preserve"> de </w:t>
            </w:r>
            <w:proofErr w:type="spellStart"/>
            <w:r w:rsidRPr="00A04CFD">
              <w:rPr>
                <w:rFonts w:eastAsia="Times New Roman"/>
                <w:b/>
                <w:bCs/>
                <w:i/>
                <w:sz w:val="22"/>
                <w:szCs w:val="22"/>
              </w:rPr>
              <w:t>producere</w:t>
            </w:r>
            <w:proofErr w:type="spellEnd"/>
            <w:r w:rsidRPr="00A04CFD">
              <w:rPr>
                <w:rFonts w:eastAsia="Times New Roman"/>
                <w:b/>
                <w:bCs/>
                <w:i/>
                <w:sz w:val="22"/>
                <w:szCs w:val="22"/>
              </w:rPr>
              <w:t xml:space="preserve"> </w:t>
            </w:r>
            <w:proofErr w:type="gramStart"/>
            <w:r w:rsidRPr="00A04CFD">
              <w:rPr>
                <w:rFonts w:eastAsia="Times New Roman"/>
                <w:b/>
                <w:bCs/>
                <w:i/>
                <w:sz w:val="22"/>
                <w:szCs w:val="22"/>
              </w:rPr>
              <w:t>a</w:t>
            </w:r>
            <w:proofErr w:type="gramEnd"/>
            <w:r w:rsidRPr="00A04CFD">
              <w:rPr>
                <w:rFonts w:eastAsia="Times New Roman"/>
                <w:b/>
                <w:bCs/>
                <w:i/>
                <w:sz w:val="22"/>
                <w:szCs w:val="22"/>
              </w:rPr>
              <w:t xml:space="preserve"> </w:t>
            </w:r>
            <w:proofErr w:type="spellStart"/>
            <w:r w:rsidRPr="00A04CFD">
              <w:rPr>
                <w:rFonts w:eastAsia="Times New Roman"/>
                <w:b/>
                <w:bCs/>
                <w:i/>
                <w:sz w:val="22"/>
                <w:szCs w:val="22"/>
              </w:rPr>
              <w:t>energiei</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si</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capacitatea</w:t>
            </w:r>
            <w:proofErr w:type="spellEnd"/>
            <w:r w:rsidRPr="00A04CFD">
              <w:rPr>
                <w:rFonts w:eastAsia="Times New Roman"/>
                <w:b/>
                <w:bCs/>
                <w:i/>
                <w:sz w:val="22"/>
                <w:szCs w:val="22"/>
              </w:rPr>
              <w:t xml:space="preserve"> de </w:t>
            </w:r>
            <w:proofErr w:type="spellStart"/>
            <w:proofErr w:type="gramStart"/>
            <w:r w:rsidRPr="00A04CFD">
              <w:rPr>
                <w:rFonts w:eastAsia="Times New Roman"/>
                <w:b/>
                <w:bCs/>
                <w:i/>
                <w:sz w:val="22"/>
                <w:szCs w:val="22"/>
              </w:rPr>
              <w:t>stocare</w:t>
            </w:r>
            <w:proofErr w:type="spellEnd"/>
            <w:r w:rsidRPr="00A04CFD">
              <w:rPr>
                <w:rFonts w:eastAsia="Times New Roman"/>
                <w:b/>
                <w:bCs/>
                <w:i/>
                <w:sz w:val="22"/>
                <w:szCs w:val="22"/>
              </w:rPr>
              <w:t xml:space="preserve">  se</w:t>
            </w:r>
            <w:proofErr w:type="gramEnd"/>
            <w:r w:rsidRPr="00A04CFD">
              <w:rPr>
                <w:rFonts w:eastAsia="Times New Roman"/>
                <w:b/>
                <w:bCs/>
                <w:i/>
                <w:sz w:val="22"/>
                <w:szCs w:val="22"/>
              </w:rPr>
              <w:t xml:space="preserve"> </w:t>
            </w:r>
            <w:proofErr w:type="spellStart"/>
            <w:r w:rsidRPr="00A04CFD">
              <w:rPr>
                <w:rFonts w:eastAsia="Times New Roman"/>
                <w:b/>
                <w:bCs/>
                <w:i/>
                <w:sz w:val="22"/>
                <w:szCs w:val="22"/>
              </w:rPr>
              <w:t>dimensionează</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pentru</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utilizarea</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energiei</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produse</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doar</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pentru</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acoperirea</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necesarului</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anual</w:t>
            </w:r>
            <w:proofErr w:type="spellEnd"/>
            <w:r w:rsidRPr="00A04CFD">
              <w:rPr>
                <w:rFonts w:eastAsia="Times New Roman"/>
                <w:b/>
                <w:bCs/>
                <w:i/>
                <w:sz w:val="22"/>
                <w:szCs w:val="22"/>
              </w:rPr>
              <w:t xml:space="preserve"> de </w:t>
            </w:r>
            <w:proofErr w:type="spellStart"/>
            <w:r w:rsidRPr="00A04CFD">
              <w:rPr>
                <w:rFonts w:eastAsia="Times New Roman"/>
                <w:b/>
                <w:bCs/>
                <w:i/>
                <w:sz w:val="22"/>
                <w:szCs w:val="22"/>
              </w:rPr>
              <w:t>energie</w:t>
            </w:r>
            <w:proofErr w:type="spellEnd"/>
            <w:r w:rsidRPr="00A04CFD">
              <w:rPr>
                <w:rFonts w:eastAsia="Times New Roman"/>
                <w:b/>
                <w:bCs/>
                <w:i/>
                <w:sz w:val="22"/>
                <w:szCs w:val="22"/>
              </w:rPr>
              <w:t xml:space="preserve"> al </w:t>
            </w:r>
            <w:proofErr w:type="spellStart"/>
            <w:r w:rsidRPr="00A04CFD">
              <w:rPr>
                <w:rFonts w:eastAsia="Times New Roman"/>
                <w:b/>
                <w:bCs/>
                <w:i/>
                <w:sz w:val="22"/>
                <w:szCs w:val="22"/>
              </w:rPr>
              <w:t>clădirii</w:t>
            </w:r>
            <w:proofErr w:type="spellEnd"/>
            <w:r w:rsidRPr="00A04CFD">
              <w:rPr>
                <w:rFonts w:eastAsia="Times New Roman"/>
                <w:b/>
                <w:bCs/>
                <w:i/>
                <w:sz w:val="22"/>
                <w:szCs w:val="22"/>
              </w:rPr>
              <w:t>/</w:t>
            </w:r>
            <w:proofErr w:type="spellStart"/>
            <w:r w:rsidRPr="00A04CFD">
              <w:rPr>
                <w:rFonts w:eastAsia="Times New Roman"/>
                <w:b/>
                <w:bCs/>
                <w:i/>
                <w:sz w:val="22"/>
                <w:szCs w:val="22"/>
              </w:rPr>
              <w:t>clădirilor</w:t>
            </w:r>
            <w:proofErr w:type="spellEnd"/>
            <w:r w:rsidRPr="00A04CFD">
              <w:rPr>
                <w:rFonts w:eastAsia="Times New Roman"/>
                <w:b/>
                <w:bCs/>
                <w:i/>
                <w:sz w:val="22"/>
                <w:szCs w:val="22"/>
              </w:rPr>
              <w:t xml:space="preserve"> </w:t>
            </w:r>
            <w:proofErr w:type="spellStart"/>
            <w:r w:rsidRPr="00A04CFD">
              <w:rPr>
                <w:rFonts w:eastAsia="Times New Roman"/>
                <w:b/>
                <w:bCs/>
                <w:i/>
                <w:sz w:val="22"/>
                <w:szCs w:val="22"/>
              </w:rPr>
              <w:t>componente</w:t>
            </w:r>
            <w:proofErr w:type="spellEnd"/>
            <w:r w:rsidRPr="00A04CFD">
              <w:rPr>
                <w:rFonts w:eastAsia="Times New Roman"/>
                <w:b/>
                <w:bCs/>
                <w:i/>
                <w:sz w:val="22"/>
                <w:szCs w:val="22"/>
              </w:rPr>
              <w:t xml:space="preserve"> ale </w:t>
            </w:r>
            <w:proofErr w:type="spellStart"/>
            <w:r w:rsidRPr="00A04CFD">
              <w:rPr>
                <w:rFonts w:eastAsia="Times New Roman"/>
                <w:b/>
                <w:bCs/>
                <w:i/>
                <w:sz w:val="22"/>
                <w:szCs w:val="22"/>
              </w:rPr>
              <w:t>proiectului</w:t>
            </w:r>
            <w:proofErr w:type="spellEnd"/>
            <w:r w:rsidRPr="00A04CFD">
              <w:rPr>
                <w:rFonts w:eastAsia="Times New Roman"/>
                <w:b/>
                <w:bCs/>
                <w:i/>
                <w:sz w:val="22"/>
                <w:szCs w:val="22"/>
              </w:rPr>
              <w:t xml:space="preserve">. </w:t>
            </w:r>
          </w:p>
          <w:p w14:paraId="1E3B7B40" w14:textId="77777777" w:rsidR="00A657B7" w:rsidRPr="00A04CFD" w:rsidRDefault="00A657B7">
            <w:pPr>
              <w:widowControl w:val="0"/>
              <w:spacing w:before="0" w:after="0"/>
              <w:ind w:left="0"/>
              <w:rPr>
                <w:b/>
                <w:bCs/>
                <w:i/>
                <w:sz w:val="22"/>
                <w:szCs w:val="22"/>
              </w:rPr>
            </w:pPr>
          </w:p>
          <w:p w14:paraId="6AF4075C" w14:textId="77777777" w:rsidR="00A657B7" w:rsidRPr="00A04CFD" w:rsidRDefault="00A657B7">
            <w:pPr>
              <w:widowControl w:val="0"/>
              <w:spacing w:before="0" w:after="0"/>
              <w:ind w:left="0"/>
              <w:rPr>
                <w:b/>
                <w:bCs/>
                <w:i/>
                <w:sz w:val="22"/>
                <w:szCs w:val="22"/>
              </w:rPr>
            </w:pPr>
            <w:bookmarkStart w:id="137" w:name="_Hlk112340145_Copy_1"/>
            <w:bookmarkEnd w:id="137"/>
          </w:p>
          <w:p w14:paraId="2ECB4EB5" w14:textId="77777777" w:rsidR="00A657B7" w:rsidRPr="00A04CFD" w:rsidRDefault="00245051">
            <w:pPr>
              <w:widowControl w:val="0"/>
              <w:spacing w:before="0" w:after="0"/>
              <w:ind w:left="-2"/>
              <w:contextualSpacing/>
              <w:rPr>
                <w:bCs/>
                <w:sz w:val="22"/>
                <w:szCs w:val="22"/>
              </w:rPr>
            </w:pPr>
            <w:r w:rsidRPr="00A04CFD">
              <w:rPr>
                <w:rFonts w:eastAsia="Times New Roman"/>
                <w:bCs/>
                <w:sz w:val="22"/>
                <w:szCs w:val="22"/>
              </w:rPr>
              <w:t xml:space="preserve">Se </w:t>
            </w:r>
            <w:proofErr w:type="spellStart"/>
            <w:r w:rsidRPr="00A04CFD">
              <w:rPr>
                <w:rFonts w:eastAsia="Times New Roman"/>
                <w:bCs/>
                <w:sz w:val="22"/>
                <w:szCs w:val="22"/>
              </w:rPr>
              <w:t>va</w:t>
            </w:r>
            <w:proofErr w:type="spellEnd"/>
            <w:r w:rsidRPr="00A04CFD">
              <w:rPr>
                <w:rFonts w:eastAsia="Times New Roman"/>
                <w:bCs/>
                <w:sz w:val="22"/>
                <w:szCs w:val="22"/>
              </w:rPr>
              <w:t xml:space="preserve"> </w:t>
            </w:r>
            <w:proofErr w:type="spellStart"/>
            <w:r w:rsidRPr="00A04CFD">
              <w:rPr>
                <w:rFonts w:eastAsia="Times New Roman"/>
                <w:bCs/>
                <w:sz w:val="22"/>
                <w:szCs w:val="22"/>
              </w:rPr>
              <w:t>avea</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vedere</w:t>
            </w:r>
            <w:proofErr w:type="spellEnd"/>
            <w:r w:rsidRPr="00A04CFD">
              <w:rPr>
                <w:rFonts w:eastAsia="Times New Roman"/>
                <w:bCs/>
                <w:sz w:val="22"/>
                <w:szCs w:val="22"/>
              </w:rPr>
              <w:t xml:space="preserve"> </w:t>
            </w:r>
            <w:proofErr w:type="spellStart"/>
            <w:r w:rsidRPr="00A04CFD">
              <w:rPr>
                <w:rFonts w:eastAsia="Times New Roman"/>
                <w:bCs/>
                <w:sz w:val="22"/>
                <w:szCs w:val="22"/>
              </w:rPr>
              <w:t>că</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utilizarea</w:t>
            </w:r>
            <w:proofErr w:type="spellEnd"/>
            <w:r w:rsidRPr="00A04CFD">
              <w:rPr>
                <w:rFonts w:eastAsia="Times New Roman"/>
                <w:bCs/>
                <w:sz w:val="22"/>
                <w:szCs w:val="22"/>
              </w:rPr>
              <w:t xml:space="preserve"> </w:t>
            </w:r>
            <w:proofErr w:type="spellStart"/>
            <w:r w:rsidRPr="00A04CFD">
              <w:rPr>
                <w:rFonts w:eastAsia="Times New Roman"/>
                <w:bCs/>
                <w:sz w:val="22"/>
                <w:szCs w:val="22"/>
              </w:rPr>
              <w:t>surselor</w:t>
            </w:r>
            <w:proofErr w:type="spellEnd"/>
            <w:r w:rsidRPr="00A04CFD">
              <w:rPr>
                <w:rFonts w:eastAsia="Times New Roman"/>
                <w:bCs/>
                <w:sz w:val="22"/>
                <w:szCs w:val="22"/>
              </w:rPr>
              <w:t xml:space="preserve"> </w:t>
            </w:r>
            <w:proofErr w:type="spellStart"/>
            <w:r w:rsidRPr="00A04CFD">
              <w:rPr>
                <w:rFonts w:eastAsia="Times New Roman"/>
                <w:bCs/>
                <w:sz w:val="22"/>
                <w:szCs w:val="22"/>
              </w:rPr>
              <w:t>şi</w:t>
            </w:r>
            <w:proofErr w:type="spellEnd"/>
            <w:r w:rsidRPr="00A04CFD">
              <w:rPr>
                <w:rFonts w:eastAsia="Times New Roman"/>
                <w:bCs/>
                <w:sz w:val="22"/>
                <w:szCs w:val="22"/>
              </w:rPr>
              <w:t xml:space="preserve"> </w:t>
            </w:r>
            <w:proofErr w:type="spellStart"/>
            <w:r w:rsidRPr="00A04CFD">
              <w:rPr>
                <w:rFonts w:eastAsia="Times New Roman"/>
                <w:bCs/>
                <w:sz w:val="22"/>
                <w:szCs w:val="22"/>
              </w:rPr>
              <w:t>combustibililor</w:t>
            </w:r>
            <w:proofErr w:type="spellEnd"/>
            <w:r w:rsidRPr="00A04CFD">
              <w:rPr>
                <w:rFonts w:eastAsia="Times New Roman"/>
                <w:bCs/>
                <w:sz w:val="22"/>
                <w:szCs w:val="22"/>
              </w:rPr>
              <w:t xml:space="preserve"> </w:t>
            </w:r>
            <w:proofErr w:type="spellStart"/>
            <w:r w:rsidRPr="00A04CFD">
              <w:rPr>
                <w:rFonts w:eastAsia="Times New Roman"/>
                <w:bCs/>
                <w:sz w:val="22"/>
                <w:szCs w:val="22"/>
              </w:rPr>
              <w:t>pentru</w:t>
            </w:r>
            <w:proofErr w:type="spellEnd"/>
            <w:r w:rsidRPr="00A04CFD">
              <w:rPr>
                <w:rFonts w:eastAsia="Times New Roman"/>
                <w:bCs/>
                <w:sz w:val="22"/>
                <w:szCs w:val="22"/>
              </w:rPr>
              <w:t xml:space="preserve"> </w:t>
            </w:r>
            <w:proofErr w:type="spellStart"/>
            <w:r w:rsidRPr="00A04CFD">
              <w:rPr>
                <w:rFonts w:eastAsia="Times New Roman"/>
                <w:bCs/>
                <w:sz w:val="22"/>
                <w:szCs w:val="22"/>
              </w:rPr>
              <w:t>producerea</w:t>
            </w:r>
            <w:proofErr w:type="spellEnd"/>
            <w:r w:rsidRPr="00A04CFD">
              <w:rPr>
                <w:rFonts w:eastAsia="Times New Roman"/>
                <w:bCs/>
                <w:sz w:val="22"/>
                <w:szCs w:val="22"/>
              </w:rPr>
              <w:t xml:space="preserve"> de </w:t>
            </w:r>
            <w:proofErr w:type="spellStart"/>
            <w:r w:rsidRPr="00A04CFD">
              <w:rPr>
                <w:rFonts w:eastAsia="Times New Roman"/>
                <w:bCs/>
                <w:sz w:val="22"/>
                <w:szCs w:val="22"/>
              </w:rPr>
              <w:t>energie</w:t>
            </w:r>
            <w:proofErr w:type="spellEnd"/>
            <w:r w:rsidRPr="00A04CFD">
              <w:rPr>
                <w:rFonts w:eastAsia="Times New Roman"/>
                <w:bCs/>
                <w:sz w:val="22"/>
                <w:szCs w:val="22"/>
              </w:rPr>
              <w:t xml:space="preserve"> </w:t>
            </w:r>
            <w:proofErr w:type="spellStart"/>
            <w:r w:rsidRPr="00A04CFD">
              <w:rPr>
                <w:rFonts w:eastAsia="Times New Roman"/>
                <w:bCs/>
                <w:sz w:val="22"/>
                <w:szCs w:val="22"/>
              </w:rPr>
              <w:t>trebuie</w:t>
            </w:r>
            <w:proofErr w:type="spellEnd"/>
            <w:r w:rsidRPr="00A04CFD">
              <w:rPr>
                <w:rFonts w:eastAsia="Times New Roman"/>
                <w:bCs/>
                <w:sz w:val="22"/>
                <w:szCs w:val="22"/>
              </w:rPr>
              <w:t xml:space="preserve"> </w:t>
            </w:r>
            <w:proofErr w:type="spellStart"/>
            <w:r w:rsidRPr="00A04CFD">
              <w:rPr>
                <w:rFonts w:eastAsia="Times New Roman"/>
                <w:bCs/>
                <w:sz w:val="22"/>
                <w:szCs w:val="22"/>
              </w:rPr>
              <w:t>să</w:t>
            </w:r>
            <w:proofErr w:type="spellEnd"/>
            <w:r w:rsidRPr="00A04CFD">
              <w:rPr>
                <w:rFonts w:eastAsia="Times New Roman"/>
                <w:bCs/>
                <w:sz w:val="22"/>
                <w:szCs w:val="22"/>
              </w:rPr>
              <w:t xml:space="preserve"> se </w:t>
            </w:r>
            <w:proofErr w:type="spellStart"/>
            <w:r w:rsidRPr="00A04CFD">
              <w:rPr>
                <w:rFonts w:eastAsia="Times New Roman"/>
                <w:bCs/>
                <w:sz w:val="22"/>
                <w:szCs w:val="22"/>
              </w:rPr>
              <w:t>respecte</w:t>
            </w:r>
            <w:proofErr w:type="spellEnd"/>
            <w:r w:rsidRPr="00A04CFD">
              <w:rPr>
                <w:rFonts w:eastAsia="Times New Roman"/>
                <w:bCs/>
                <w:sz w:val="22"/>
                <w:szCs w:val="22"/>
              </w:rPr>
              <w:t xml:space="preserve"> </w:t>
            </w:r>
            <w:proofErr w:type="spellStart"/>
            <w:r w:rsidRPr="00A04CFD">
              <w:rPr>
                <w:rFonts w:eastAsia="Times New Roman"/>
                <w:bCs/>
                <w:sz w:val="22"/>
                <w:szCs w:val="22"/>
              </w:rPr>
              <w:t>prevederile</w:t>
            </w:r>
            <w:proofErr w:type="spellEnd"/>
            <w:r w:rsidRPr="00A04CFD">
              <w:rPr>
                <w:rFonts w:eastAsia="Times New Roman"/>
                <w:bCs/>
                <w:sz w:val="22"/>
                <w:szCs w:val="22"/>
              </w:rPr>
              <w:t xml:space="preserve"> </w:t>
            </w:r>
            <w:proofErr w:type="spellStart"/>
            <w:r w:rsidRPr="00A04CFD">
              <w:rPr>
                <w:rFonts w:eastAsia="Times New Roman"/>
                <w:bCs/>
                <w:sz w:val="22"/>
                <w:szCs w:val="22"/>
              </w:rPr>
              <w:t>legale</w:t>
            </w:r>
            <w:proofErr w:type="spellEnd"/>
            <w:r w:rsidRPr="00A04CFD">
              <w:rPr>
                <w:rFonts w:eastAsia="Times New Roman"/>
                <w:bCs/>
                <w:sz w:val="22"/>
                <w:szCs w:val="22"/>
              </w:rPr>
              <w:t xml:space="preserve"> </w:t>
            </w:r>
            <w:proofErr w:type="spellStart"/>
            <w:r w:rsidRPr="00A04CFD">
              <w:rPr>
                <w:rFonts w:eastAsia="Times New Roman"/>
                <w:bCs/>
                <w:sz w:val="22"/>
                <w:szCs w:val="22"/>
              </w:rPr>
              <w:t>privind</w:t>
            </w:r>
            <w:proofErr w:type="spellEnd"/>
            <w:r w:rsidRPr="00A04CFD">
              <w:rPr>
                <w:rFonts w:eastAsia="Times New Roman"/>
                <w:bCs/>
                <w:sz w:val="22"/>
                <w:szCs w:val="22"/>
              </w:rPr>
              <w:t xml:space="preserve"> </w:t>
            </w:r>
            <w:proofErr w:type="spellStart"/>
            <w:r w:rsidRPr="00A04CFD">
              <w:rPr>
                <w:rFonts w:eastAsia="Times New Roman"/>
                <w:bCs/>
                <w:sz w:val="22"/>
                <w:szCs w:val="22"/>
              </w:rPr>
              <w:t>utilizarea</w:t>
            </w:r>
            <w:proofErr w:type="spellEnd"/>
            <w:r w:rsidRPr="00A04CFD">
              <w:rPr>
                <w:rFonts w:eastAsia="Times New Roman"/>
                <w:bCs/>
                <w:sz w:val="22"/>
                <w:szCs w:val="22"/>
              </w:rPr>
              <w:t xml:space="preserve"> </w:t>
            </w:r>
            <w:proofErr w:type="spellStart"/>
            <w:r w:rsidRPr="00A04CFD">
              <w:rPr>
                <w:rFonts w:eastAsia="Times New Roman"/>
                <w:bCs/>
                <w:sz w:val="22"/>
                <w:szCs w:val="22"/>
              </w:rPr>
              <w:t>surselor</w:t>
            </w:r>
            <w:proofErr w:type="spellEnd"/>
            <w:r w:rsidRPr="00A04CFD">
              <w:rPr>
                <w:rFonts w:eastAsia="Times New Roman"/>
                <w:bCs/>
                <w:sz w:val="22"/>
                <w:szCs w:val="22"/>
              </w:rPr>
              <w:t xml:space="preserve"> </w:t>
            </w:r>
            <w:proofErr w:type="spellStart"/>
            <w:r w:rsidRPr="00A04CFD">
              <w:rPr>
                <w:rFonts w:eastAsia="Times New Roman"/>
                <w:bCs/>
                <w:sz w:val="22"/>
                <w:szCs w:val="22"/>
              </w:rPr>
              <w:t>regenerabile</w:t>
            </w:r>
            <w:proofErr w:type="spellEnd"/>
            <w:r w:rsidRPr="00A04CFD">
              <w:rPr>
                <w:rFonts w:eastAsia="Times New Roman"/>
                <w:bCs/>
                <w:sz w:val="22"/>
                <w:szCs w:val="22"/>
              </w:rPr>
              <w:t>.</w:t>
            </w:r>
          </w:p>
          <w:p w14:paraId="48973A03" w14:textId="77777777" w:rsidR="00A657B7" w:rsidRPr="00A04CFD" w:rsidRDefault="00A657B7">
            <w:pPr>
              <w:widowControl w:val="0"/>
              <w:spacing w:before="0" w:after="0"/>
              <w:ind w:left="-2"/>
              <w:contextualSpacing/>
              <w:rPr>
                <w:bCs/>
                <w:sz w:val="22"/>
                <w:szCs w:val="22"/>
              </w:rPr>
            </w:pPr>
          </w:p>
          <w:p w14:paraId="6C997122" w14:textId="77777777" w:rsidR="00A657B7" w:rsidRPr="00A04CFD" w:rsidRDefault="00245051">
            <w:pPr>
              <w:widowControl w:val="0"/>
              <w:spacing w:before="0" w:after="0"/>
              <w:ind w:left="-2"/>
              <w:contextualSpacing/>
              <w:rPr>
                <w:bCs/>
                <w:sz w:val="22"/>
                <w:szCs w:val="22"/>
              </w:rPr>
            </w:pPr>
            <w:r w:rsidRPr="008504A1">
              <w:rPr>
                <w:rFonts w:eastAsia="Times New Roman"/>
                <w:bCs/>
                <w:sz w:val="22"/>
                <w:szCs w:val="22"/>
              </w:rPr>
              <w:t xml:space="preserve">Este </w:t>
            </w:r>
            <w:proofErr w:type="spellStart"/>
            <w:r w:rsidRPr="008504A1">
              <w:rPr>
                <w:rFonts w:eastAsia="Times New Roman"/>
                <w:bCs/>
                <w:sz w:val="22"/>
                <w:szCs w:val="22"/>
              </w:rPr>
              <w:t>necesar</w:t>
            </w:r>
            <w:proofErr w:type="spellEnd"/>
            <w:r w:rsidRPr="008504A1">
              <w:rPr>
                <w:rFonts w:eastAsia="Times New Roman"/>
                <w:bCs/>
                <w:sz w:val="22"/>
                <w:szCs w:val="22"/>
              </w:rPr>
              <w:t xml:space="preserve"> ca </w:t>
            </w:r>
            <w:proofErr w:type="spellStart"/>
            <w:r w:rsidRPr="008504A1">
              <w:rPr>
                <w:rFonts w:eastAsia="Times New Roman"/>
                <w:bCs/>
                <w:sz w:val="22"/>
                <w:szCs w:val="22"/>
              </w:rPr>
              <w:t>locul</w:t>
            </w:r>
            <w:proofErr w:type="spellEnd"/>
            <w:r w:rsidRPr="008504A1">
              <w:rPr>
                <w:rFonts w:eastAsia="Times New Roman"/>
                <w:bCs/>
                <w:sz w:val="22"/>
                <w:szCs w:val="22"/>
              </w:rPr>
              <w:t>/</w:t>
            </w:r>
            <w:proofErr w:type="spellStart"/>
            <w:r w:rsidRPr="008504A1">
              <w:rPr>
                <w:rFonts w:eastAsia="Times New Roman"/>
                <w:bCs/>
                <w:sz w:val="22"/>
                <w:szCs w:val="22"/>
              </w:rPr>
              <w:t>locurile</w:t>
            </w:r>
            <w:proofErr w:type="spellEnd"/>
            <w:r w:rsidRPr="008504A1">
              <w:rPr>
                <w:rFonts w:eastAsia="Times New Roman"/>
                <w:bCs/>
                <w:sz w:val="22"/>
                <w:szCs w:val="22"/>
              </w:rPr>
              <w:t xml:space="preserve"> de </w:t>
            </w:r>
            <w:proofErr w:type="spellStart"/>
            <w:r w:rsidRPr="008504A1">
              <w:rPr>
                <w:rFonts w:eastAsia="Times New Roman"/>
                <w:bCs/>
                <w:sz w:val="22"/>
                <w:szCs w:val="22"/>
              </w:rPr>
              <w:t>consum</w:t>
            </w:r>
            <w:proofErr w:type="spellEnd"/>
            <w:r w:rsidRPr="008504A1">
              <w:rPr>
                <w:rFonts w:eastAsia="Times New Roman"/>
                <w:bCs/>
                <w:sz w:val="22"/>
                <w:szCs w:val="22"/>
              </w:rPr>
              <w:t xml:space="preserve"> </w:t>
            </w:r>
            <w:proofErr w:type="spellStart"/>
            <w:r w:rsidRPr="008504A1">
              <w:rPr>
                <w:rFonts w:eastAsia="Times New Roman"/>
                <w:bCs/>
                <w:sz w:val="22"/>
                <w:szCs w:val="22"/>
              </w:rPr>
              <w:t>analizate</w:t>
            </w:r>
            <w:proofErr w:type="spellEnd"/>
            <w:r w:rsidRPr="008504A1">
              <w:rPr>
                <w:rFonts w:eastAsia="Times New Roman"/>
                <w:bCs/>
                <w:sz w:val="22"/>
                <w:szCs w:val="22"/>
              </w:rPr>
              <w:t xml:space="preserve"> </w:t>
            </w:r>
            <w:proofErr w:type="spellStart"/>
            <w:r w:rsidRPr="008504A1">
              <w:rPr>
                <w:rFonts w:eastAsia="Times New Roman"/>
                <w:bCs/>
                <w:sz w:val="22"/>
                <w:szCs w:val="22"/>
              </w:rPr>
              <w:t>să</w:t>
            </w:r>
            <w:proofErr w:type="spellEnd"/>
            <w:r w:rsidRPr="008504A1">
              <w:rPr>
                <w:rFonts w:eastAsia="Times New Roman"/>
                <w:bCs/>
                <w:sz w:val="22"/>
                <w:szCs w:val="22"/>
              </w:rPr>
              <w:t xml:space="preserve"> fie </w:t>
            </w:r>
            <w:proofErr w:type="spellStart"/>
            <w:r w:rsidRPr="008504A1">
              <w:rPr>
                <w:rFonts w:eastAsia="Times New Roman"/>
                <w:bCs/>
                <w:sz w:val="22"/>
                <w:szCs w:val="22"/>
              </w:rPr>
              <w:t>conectate</w:t>
            </w:r>
            <w:proofErr w:type="spellEnd"/>
            <w:r w:rsidRPr="008504A1">
              <w:rPr>
                <w:rFonts w:eastAsia="Times New Roman"/>
                <w:bCs/>
                <w:sz w:val="22"/>
                <w:szCs w:val="22"/>
              </w:rPr>
              <w:t xml:space="preserve"> la </w:t>
            </w:r>
            <w:proofErr w:type="spellStart"/>
            <w:r w:rsidRPr="008504A1">
              <w:rPr>
                <w:rFonts w:eastAsia="Times New Roman"/>
                <w:bCs/>
                <w:sz w:val="22"/>
                <w:szCs w:val="22"/>
              </w:rPr>
              <w:t>Sistemul</w:t>
            </w:r>
            <w:proofErr w:type="spellEnd"/>
            <w:r w:rsidRPr="008504A1">
              <w:rPr>
                <w:rFonts w:eastAsia="Times New Roman"/>
                <w:bCs/>
                <w:sz w:val="22"/>
                <w:szCs w:val="22"/>
              </w:rPr>
              <w:t xml:space="preserve"> Energetic </w:t>
            </w:r>
            <w:proofErr w:type="spellStart"/>
            <w:r w:rsidRPr="008504A1">
              <w:rPr>
                <w:rFonts w:eastAsia="Times New Roman"/>
                <w:bCs/>
                <w:sz w:val="22"/>
                <w:szCs w:val="22"/>
              </w:rPr>
              <w:t>Naţional</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w:t>
            </w:r>
            <w:proofErr w:type="spellStart"/>
            <w:r w:rsidRPr="008504A1">
              <w:rPr>
                <w:rFonts w:eastAsia="Times New Roman"/>
                <w:bCs/>
                <w:sz w:val="22"/>
                <w:szCs w:val="22"/>
              </w:rPr>
              <w:t>baza</w:t>
            </w:r>
            <w:proofErr w:type="spellEnd"/>
            <w:r w:rsidRPr="008504A1">
              <w:rPr>
                <w:rFonts w:eastAsia="Times New Roman"/>
                <w:bCs/>
                <w:sz w:val="22"/>
                <w:szCs w:val="22"/>
              </w:rPr>
              <w:t xml:space="preserve"> </w:t>
            </w:r>
            <w:proofErr w:type="spellStart"/>
            <w:r w:rsidRPr="008504A1">
              <w:rPr>
                <w:rFonts w:eastAsia="Times New Roman"/>
                <w:bCs/>
                <w:sz w:val="22"/>
                <w:szCs w:val="22"/>
              </w:rPr>
              <w:t>unui</w:t>
            </w:r>
            <w:proofErr w:type="spellEnd"/>
            <w:r w:rsidRPr="008504A1">
              <w:rPr>
                <w:rFonts w:eastAsia="Times New Roman"/>
                <w:bCs/>
                <w:sz w:val="22"/>
                <w:szCs w:val="22"/>
              </w:rPr>
              <w:t xml:space="preserve"> Aviz </w:t>
            </w:r>
            <w:proofErr w:type="spellStart"/>
            <w:r w:rsidRPr="008504A1">
              <w:rPr>
                <w:rFonts w:eastAsia="Times New Roman"/>
                <w:bCs/>
                <w:sz w:val="22"/>
                <w:szCs w:val="22"/>
              </w:rPr>
              <w:t>Tehnic</w:t>
            </w:r>
            <w:proofErr w:type="spellEnd"/>
            <w:r w:rsidRPr="008504A1">
              <w:rPr>
                <w:rFonts w:eastAsia="Times New Roman"/>
                <w:bCs/>
                <w:sz w:val="22"/>
                <w:szCs w:val="22"/>
              </w:rPr>
              <w:t xml:space="preserve"> de </w:t>
            </w:r>
            <w:proofErr w:type="spellStart"/>
            <w:r w:rsidRPr="008504A1">
              <w:rPr>
                <w:rFonts w:eastAsia="Times New Roman"/>
                <w:bCs/>
                <w:sz w:val="22"/>
                <w:szCs w:val="22"/>
              </w:rPr>
              <w:t>Racordare</w:t>
            </w:r>
            <w:proofErr w:type="spellEnd"/>
            <w:r w:rsidRPr="008504A1">
              <w:rPr>
                <w:rFonts w:eastAsia="Times New Roman"/>
                <w:bCs/>
                <w:sz w:val="22"/>
                <w:szCs w:val="22"/>
              </w:rPr>
              <w:t xml:space="preserve"> (ATR). </w:t>
            </w:r>
            <w:proofErr w:type="spellStart"/>
            <w:r w:rsidRPr="008504A1">
              <w:rPr>
                <w:rFonts w:eastAsia="Times New Roman"/>
                <w:bCs/>
                <w:sz w:val="22"/>
                <w:szCs w:val="22"/>
              </w:rPr>
              <w:t>Depunerea</w:t>
            </w:r>
            <w:proofErr w:type="spellEnd"/>
            <w:r w:rsidRPr="008504A1">
              <w:rPr>
                <w:rFonts w:eastAsia="Times New Roman"/>
                <w:bCs/>
                <w:sz w:val="22"/>
                <w:szCs w:val="22"/>
              </w:rPr>
              <w:t xml:space="preserve"> </w:t>
            </w:r>
            <w:proofErr w:type="spellStart"/>
            <w:r w:rsidRPr="008504A1">
              <w:rPr>
                <w:rFonts w:eastAsia="Times New Roman"/>
                <w:bCs/>
                <w:sz w:val="22"/>
                <w:szCs w:val="22"/>
              </w:rPr>
              <w:t>avizului</w:t>
            </w:r>
            <w:proofErr w:type="spellEnd"/>
            <w:r w:rsidRPr="008504A1">
              <w:rPr>
                <w:rFonts w:eastAsia="Times New Roman"/>
                <w:bCs/>
                <w:sz w:val="22"/>
                <w:szCs w:val="22"/>
              </w:rPr>
              <w:t xml:space="preserve"> </w:t>
            </w:r>
            <w:proofErr w:type="spellStart"/>
            <w:r w:rsidRPr="008504A1">
              <w:rPr>
                <w:rFonts w:eastAsia="Times New Roman"/>
                <w:bCs/>
                <w:sz w:val="22"/>
                <w:szCs w:val="22"/>
              </w:rPr>
              <w:t>tehnic</w:t>
            </w:r>
            <w:proofErr w:type="spellEnd"/>
            <w:r w:rsidRPr="008504A1">
              <w:rPr>
                <w:rFonts w:eastAsia="Times New Roman"/>
                <w:bCs/>
                <w:sz w:val="22"/>
                <w:szCs w:val="22"/>
              </w:rPr>
              <w:t xml:space="preserve"> de </w:t>
            </w:r>
            <w:proofErr w:type="spellStart"/>
            <w:r w:rsidRPr="008504A1">
              <w:rPr>
                <w:rFonts w:eastAsia="Times New Roman"/>
                <w:bCs/>
                <w:sz w:val="22"/>
                <w:szCs w:val="22"/>
              </w:rPr>
              <w:t>racordare</w:t>
            </w:r>
            <w:proofErr w:type="spellEnd"/>
            <w:r w:rsidRPr="008504A1">
              <w:rPr>
                <w:rFonts w:eastAsia="Times New Roman"/>
                <w:bCs/>
                <w:sz w:val="22"/>
                <w:szCs w:val="22"/>
              </w:rPr>
              <w:t xml:space="preserve"> </w:t>
            </w:r>
            <w:proofErr w:type="spellStart"/>
            <w:r w:rsidRPr="008504A1">
              <w:rPr>
                <w:rFonts w:eastAsia="Times New Roman"/>
                <w:bCs/>
                <w:sz w:val="22"/>
                <w:szCs w:val="22"/>
              </w:rPr>
              <w:t>este</w:t>
            </w:r>
            <w:proofErr w:type="spellEnd"/>
            <w:r w:rsidRPr="008504A1">
              <w:rPr>
                <w:rFonts w:eastAsia="Times New Roman"/>
                <w:bCs/>
                <w:sz w:val="22"/>
                <w:szCs w:val="22"/>
              </w:rPr>
              <w:t xml:space="preserve"> </w:t>
            </w:r>
            <w:proofErr w:type="spellStart"/>
            <w:r w:rsidRPr="008504A1">
              <w:rPr>
                <w:rFonts w:eastAsia="Times New Roman"/>
                <w:bCs/>
                <w:sz w:val="22"/>
                <w:szCs w:val="22"/>
              </w:rPr>
              <w:t>obligatorie</w:t>
            </w:r>
            <w:proofErr w:type="spellEnd"/>
            <w:r w:rsidRPr="008504A1">
              <w:rPr>
                <w:rFonts w:eastAsia="Times New Roman"/>
                <w:bCs/>
                <w:sz w:val="22"/>
                <w:szCs w:val="22"/>
              </w:rPr>
              <w:t xml:space="preserve"> </w:t>
            </w:r>
            <w:proofErr w:type="spellStart"/>
            <w:r w:rsidRPr="008504A1">
              <w:rPr>
                <w:rFonts w:eastAsia="Times New Roman"/>
                <w:bCs/>
                <w:sz w:val="22"/>
                <w:szCs w:val="22"/>
              </w:rPr>
              <w:t>odată</w:t>
            </w:r>
            <w:proofErr w:type="spellEnd"/>
            <w:r w:rsidRPr="008504A1">
              <w:rPr>
                <w:rFonts w:eastAsia="Times New Roman"/>
                <w:bCs/>
                <w:sz w:val="22"/>
                <w:szCs w:val="22"/>
              </w:rPr>
              <w:t xml:space="preserve"> cu </w:t>
            </w:r>
            <w:proofErr w:type="spellStart"/>
            <w:r w:rsidRPr="008504A1">
              <w:rPr>
                <w:rFonts w:eastAsia="Times New Roman"/>
                <w:bCs/>
                <w:sz w:val="22"/>
                <w:szCs w:val="22"/>
              </w:rPr>
              <w:t>depunerea</w:t>
            </w:r>
            <w:proofErr w:type="spellEnd"/>
            <w:r w:rsidRPr="008504A1">
              <w:rPr>
                <w:rFonts w:eastAsia="Times New Roman"/>
                <w:bCs/>
                <w:sz w:val="22"/>
                <w:szCs w:val="22"/>
              </w:rPr>
              <w:t xml:space="preserve"> </w:t>
            </w:r>
            <w:proofErr w:type="spellStart"/>
            <w:r w:rsidRPr="008504A1">
              <w:rPr>
                <w:rFonts w:eastAsia="Times New Roman"/>
                <w:bCs/>
                <w:sz w:val="22"/>
                <w:szCs w:val="22"/>
              </w:rPr>
              <w:t>Cererii</w:t>
            </w:r>
            <w:proofErr w:type="spellEnd"/>
            <w:r w:rsidRPr="008504A1">
              <w:rPr>
                <w:rFonts w:eastAsia="Times New Roman"/>
                <w:bCs/>
                <w:sz w:val="22"/>
                <w:szCs w:val="22"/>
              </w:rPr>
              <w:t xml:space="preserve"> de </w:t>
            </w:r>
            <w:proofErr w:type="spellStart"/>
            <w:r w:rsidRPr="008504A1">
              <w:rPr>
                <w:rFonts w:eastAsia="Times New Roman"/>
                <w:bCs/>
                <w:sz w:val="22"/>
                <w:szCs w:val="22"/>
              </w:rPr>
              <w:t>finanțare</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w:t>
            </w:r>
            <w:proofErr w:type="spellStart"/>
            <w:r w:rsidRPr="008504A1">
              <w:rPr>
                <w:rFonts w:eastAsia="Times New Roman"/>
                <w:bCs/>
                <w:sz w:val="22"/>
                <w:szCs w:val="22"/>
              </w:rPr>
              <w:t>cazul</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care </w:t>
            </w:r>
            <w:proofErr w:type="spellStart"/>
            <w:r w:rsidRPr="008504A1">
              <w:rPr>
                <w:rFonts w:eastAsia="Times New Roman"/>
                <w:bCs/>
                <w:sz w:val="22"/>
                <w:szCs w:val="22"/>
              </w:rPr>
              <w:t>cererea</w:t>
            </w:r>
            <w:proofErr w:type="spellEnd"/>
            <w:r w:rsidRPr="008504A1">
              <w:rPr>
                <w:rFonts w:eastAsia="Times New Roman"/>
                <w:bCs/>
                <w:sz w:val="22"/>
                <w:szCs w:val="22"/>
              </w:rPr>
              <w:t xml:space="preserve"> de </w:t>
            </w:r>
            <w:proofErr w:type="spellStart"/>
            <w:r w:rsidRPr="008504A1">
              <w:rPr>
                <w:rFonts w:eastAsia="Times New Roman"/>
                <w:bCs/>
                <w:sz w:val="22"/>
                <w:szCs w:val="22"/>
              </w:rPr>
              <w:t>finanţare</w:t>
            </w:r>
            <w:proofErr w:type="spellEnd"/>
            <w:r w:rsidRPr="008504A1">
              <w:rPr>
                <w:rFonts w:eastAsia="Times New Roman"/>
                <w:bCs/>
                <w:sz w:val="22"/>
                <w:szCs w:val="22"/>
              </w:rPr>
              <w:t xml:space="preserve"> include </w:t>
            </w:r>
            <w:proofErr w:type="spellStart"/>
            <w:r w:rsidRPr="008504A1">
              <w:rPr>
                <w:rFonts w:eastAsia="Times New Roman"/>
                <w:bCs/>
                <w:sz w:val="22"/>
                <w:szCs w:val="22"/>
              </w:rPr>
              <w:t>investiţii</w:t>
            </w:r>
            <w:proofErr w:type="spellEnd"/>
            <w:r w:rsidRPr="008504A1">
              <w:rPr>
                <w:rFonts w:eastAsia="Times New Roman"/>
                <w:bCs/>
                <w:sz w:val="22"/>
                <w:szCs w:val="22"/>
              </w:rPr>
              <w:t xml:space="preserve"> </w:t>
            </w:r>
            <w:proofErr w:type="spellStart"/>
            <w:r w:rsidRPr="008504A1">
              <w:rPr>
                <w:rFonts w:eastAsia="Times New Roman"/>
                <w:bCs/>
                <w:sz w:val="22"/>
                <w:szCs w:val="22"/>
              </w:rPr>
              <w:t>pentru</w:t>
            </w:r>
            <w:proofErr w:type="spellEnd"/>
            <w:r w:rsidRPr="008504A1">
              <w:rPr>
                <w:rFonts w:eastAsia="Times New Roman"/>
                <w:bCs/>
                <w:sz w:val="22"/>
                <w:szCs w:val="22"/>
              </w:rPr>
              <w:t xml:space="preserve"> </w:t>
            </w:r>
            <w:proofErr w:type="spellStart"/>
            <w:r w:rsidRPr="008504A1">
              <w:rPr>
                <w:rFonts w:eastAsia="Times New Roman"/>
                <w:bCs/>
                <w:sz w:val="22"/>
                <w:szCs w:val="22"/>
              </w:rPr>
              <w:t>mai</w:t>
            </w:r>
            <w:proofErr w:type="spellEnd"/>
            <w:r w:rsidRPr="008504A1">
              <w:rPr>
                <w:rFonts w:eastAsia="Times New Roman"/>
                <w:bCs/>
                <w:sz w:val="22"/>
                <w:szCs w:val="22"/>
              </w:rPr>
              <w:t xml:space="preserve"> </w:t>
            </w:r>
            <w:proofErr w:type="spellStart"/>
            <w:r w:rsidRPr="008504A1">
              <w:rPr>
                <w:rFonts w:eastAsia="Times New Roman"/>
                <w:bCs/>
                <w:sz w:val="22"/>
                <w:szCs w:val="22"/>
              </w:rPr>
              <w:t>multe</w:t>
            </w:r>
            <w:proofErr w:type="spellEnd"/>
            <w:r w:rsidRPr="008504A1">
              <w:rPr>
                <w:rFonts w:eastAsia="Times New Roman"/>
                <w:bCs/>
                <w:sz w:val="22"/>
                <w:szCs w:val="22"/>
              </w:rPr>
              <w:t xml:space="preserve"> </w:t>
            </w:r>
            <w:proofErr w:type="spellStart"/>
            <w:r w:rsidRPr="008504A1">
              <w:rPr>
                <w:rFonts w:eastAsia="Times New Roman"/>
                <w:bCs/>
                <w:sz w:val="22"/>
                <w:szCs w:val="22"/>
              </w:rPr>
              <w:t>locuri</w:t>
            </w:r>
            <w:proofErr w:type="spellEnd"/>
            <w:r w:rsidRPr="008504A1">
              <w:rPr>
                <w:rFonts w:eastAsia="Times New Roman"/>
                <w:bCs/>
                <w:sz w:val="22"/>
                <w:szCs w:val="22"/>
              </w:rPr>
              <w:t xml:space="preserve"> de </w:t>
            </w:r>
            <w:proofErr w:type="spellStart"/>
            <w:r w:rsidRPr="008504A1">
              <w:rPr>
                <w:rFonts w:eastAsia="Times New Roman"/>
                <w:bCs/>
                <w:sz w:val="22"/>
                <w:szCs w:val="22"/>
              </w:rPr>
              <w:t>consum</w:t>
            </w:r>
            <w:proofErr w:type="spellEnd"/>
            <w:r w:rsidRPr="008504A1">
              <w:rPr>
                <w:rFonts w:eastAsia="Times New Roman"/>
                <w:bCs/>
                <w:sz w:val="22"/>
                <w:szCs w:val="22"/>
              </w:rPr>
              <w:t xml:space="preserve"> </w:t>
            </w:r>
            <w:proofErr w:type="spellStart"/>
            <w:r w:rsidRPr="008504A1">
              <w:rPr>
                <w:rFonts w:eastAsia="Times New Roman"/>
                <w:bCs/>
                <w:sz w:val="22"/>
                <w:szCs w:val="22"/>
              </w:rPr>
              <w:t>beneficiarul</w:t>
            </w:r>
            <w:proofErr w:type="spellEnd"/>
            <w:r w:rsidRPr="008504A1">
              <w:rPr>
                <w:rFonts w:eastAsia="Times New Roman"/>
                <w:bCs/>
                <w:sz w:val="22"/>
                <w:szCs w:val="22"/>
              </w:rPr>
              <w:t xml:space="preserve"> </w:t>
            </w:r>
            <w:proofErr w:type="spellStart"/>
            <w:r w:rsidRPr="008504A1">
              <w:rPr>
                <w:rFonts w:eastAsia="Times New Roman"/>
                <w:bCs/>
                <w:sz w:val="22"/>
                <w:szCs w:val="22"/>
              </w:rPr>
              <w:t>va</w:t>
            </w:r>
            <w:proofErr w:type="spellEnd"/>
            <w:r w:rsidRPr="008504A1">
              <w:rPr>
                <w:rFonts w:eastAsia="Times New Roman"/>
                <w:bCs/>
                <w:sz w:val="22"/>
                <w:szCs w:val="22"/>
              </w:rPr>
              <w:t xml:space="preserve"> </w:t>
            </w:r>
            <w:proofErr w:type="spellStart"/>
            <w:r w:rsidRPr="008504A1">
              <w:rPr>
                <w:rFonts w:eastAsia="Times New Roman"/>
                <w:bCs/>
                <w:sz w:val="22"/>
                <w:szCs w:val="22"/>
              </w:rPr>
              <w:t>ataşa</w:t>
            </w:r>
            <w:proofErr w:type="spellEnd"/>
            <w:r w:rsidRPr="008504A1">
              <w:rPr>
                <w:rFonts w:eastAsia="Times New Roman"/>
                <w:bCs/>
                <w:sz w:val="22"/>
                <w:szCs w:val="22"/>
              </w:rPr>
              <w:t xml:space="preserve"> ATR </w:t>
            </w:r>
            <w:proofErr w:type="spellStart"/>
            <w:r w:rsidRPr="008504A1">
              <w:rPr>
                <w:rFonts w:eastAsia="Times New Roman"/>
                <w:bCs/>
                <w:sz w:val="22"/>
                <w:szCs w:val="22"/>
              </w:rPr>
              <w:t>pentru</w:t>
            </w:r>
            <w:proofErr w:type="spellEnd"/>
            <w:r w:rsidRPr="008504A1">
              <w:rPr>
                <w:rFonts w:eastAsia="Times New Roman"/>
                <w:bCs/>
                <w:sz w:val="22"/>
                <w:szCs w:val="22"/>
              </w:rPr>
              <w:t xml:space="preserve"> </w:t>
            </w:r>
            <w:proofErr w:type="spellStart"/>
            <w:r w:rsidRPr="008504A1">
              <w:rPr>
                <w:rFonts w:eastAsia="Times New Roman"/>
                <w:bCs/>
                <w:sz w:val="22"/>
                <w:szCs w:val="22"/>
              </w:rPr>
              <w:t>fiecare</w:t>
            </w:r>
            <w:proofErr w:type="spellEnd"/>
            <w:r w:rsidRPr="008504A1">
              <w:rPr>
                <w:rFonts w:eastAsia="Times New Roman"/>
                <w:bCs/>
                <w:sz w:val="22"/>
                <w:szCs w:val="22"/>
              </w:rPr>
              <w:t xml:space="preserve"> loc de </w:t>
            </w:r>
            <w:proofErr w:type="spellStart"/>
            <w:r w:rsidRPr="008504A1">
              <w:rPr>
                <w:rFonts w:eastAsia="Times New Roman"/>
                <w:bCs/>
                <w:sz w:val="22"/>
                <w:szCs w:val="22"/>
              </w:rPr>
              <w:t>consum</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w:t>
            </w:r>
            <w:proofErr w:type="spellStart"/>
            <w:r w:rsidRPr="008504A1">
              <w:rPr>
                <w:rFonts w:eastAsia="Times New Roman"/>
                <w:bCs/>
                <w:sz w:val="22"/>
                <w:szCs w:val="22"/>
              </w:rPr>
              <w:t>parte</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w:t>
            </w:r>
            <w:proofErr w:type="spellStart"/>
            <w:r w:rsidRPr="008504A1">
              <w:rPr>
                <w:rFonts w:eastAsia="Times New Roman"/>
                <w:bCs/>
                <w:sz w:val="22"/>
                <w:szCs w:val="22"/>
              </w:rPr>
              <w:t>cazul</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care </w:t>
            </w:r>
            <w:proofErr w:type="spellStart"/>
            <w:r w:rsidRPr="008504A1">
              <w:rPr>
                <w:rFonts w:eastAsia="Times New Roman"/>
                <w:bCs/>
                <w:sz w:val="22"/>
                <w:szCs w:val="22"/>
              </w:rPr>
              <w:t>capacitatea</w:t>
            </w:r>
            <w:proofErr w:type="spellEnd"/>
            <w:r w:rsidRPr="008504A1">
              <w:rPr>
                <w:rFonts w:eastAsia="Times New Roman"/>
                <w:bCs/>
                <w:sz w:val="22"/>
                <w:szCs w:val="22"/>
              </w:rPr>
              <w:t xml:space="preserve"> de </w:t>
            </w:r>
            <w:proofErr w:type="spellStart"/>
            <w:r w:rsidRPr="008504A1">
              <w:rPr>
                <w:rFonts w:eastAsia="Times New Roman"/>
                <w:bCs/>
                <w:sz w:val="22"/>
                <w:szCs w:val="22"/>
              </w:rPr>
              <w:t>producere</w:t>
            </w:r>
            <w:proofErr w:type="spellEnd"/>
            <w:r w:rsidRPr="008504A1">
              <w:rPr>
                <w:rFonts w:eastAsia="Times New Roman"/>
                <w:bCs/>
                <w:sz w:val="22"/>
                <w:szCs w:val="22"/>
              </w:rPr>
              <w:t xml:space="preserve"> </w:t>
            </w:r>
            <w:proofErr w:type="gramStart"/>
            <w:r w:rsidRPr="008504A1">
              <w:rPr>
                <w:rFonts w:eastAsia="Times New Roman"/>
                <w:bCs/>
                <w:sz w:val="22"/>
                <w:szCs w:val="22"/>
              </w:rPr>
              <w:t>a</w:t>
            </w:r>
            <w:proofErr w:type="gramEnd"/>
            <w:r w:rsidRPr="008504A1">
              <w:rPr>
                <w:rFonts w:eastAsia="Times New Roman"/>
                <w:bCs/>
                <w:sz w:val="22"/>
                <w:szCs w:val="22"/>
              </w:rPr>
              <w:t xml:space="preserve"> </w:t>
            </w:r>
            <w:proofErr w:type="spellStart"/>
            <w:r w:rsidRPr="008504A1">
              <w:rPr>
                <w:rFonts w:eastAsia="Times New Roman"/>
                <w:bCs/>
                <w:sz w:val="22"/>
                <w:szCs w:val="22"/>
              </w:rPr>
              <w:t>energiei</w:t>
            </w:r>
            <w:proofErr w:type="spellEnd"/>
            <w:r w:rsidRPr="008504A1">
              <w:rPr>
                <w:rFonts w:eastAsia="Times New Roman"/>
                <w:bCs/>
                <w:sz w:val="22"/>
                <w:szCs w:val="22"/>
              </w:rPr>
              <w:t xml:space="preserve"> din SRE </w:t>
            </w:r>
            <w:proofErr w:type="spellStart"/>
            <w:r w:rsidRPr="008504A1">
              <w:rPr>
                <w:rFonts w:eastAsia="Times New Roman"/>
                <w:bCs/>
                <w:sz w:val="22"/>
                <w:szCs w:val="22"/>
              </w:rPr>
              <w:t>propusă</w:t>
            </w:r>
            <w:proofErr w:type="spellEnd"/>
            <w:r w:rsidRPr="008504A1">
              <w:rPr>
                <w:rFonts w:eastAsia="Times New Roman"/>
                <w:bCs/>
                <w:sz w:val="22"/>
                <w:szCs w:val="22"/>
              </w:rPr>
              <w:t xml:space="preserve"> </w:t>
            </w:r>
            <w:proofErr w:type="spellStart"/>
            <w:r w:rsidRPr="008504A1">
              <w:rPr>
                <w:rFonts w:eastAsia="Times New Roman"/>
                <w:bCs/>
                <w:sz w:val="22"/>
                <w:szCs w:val="22"/>
              </w:rPr>
              <w:t>pentru</w:t>
            </w:r>
            <w:proofErr w:type="spellEnd"/>
            <w:r w:rsidRPr="008504A1">
              <w:rPr>
                <w:rFonts w:eastAsia="Times New Roman"/>
                <w:bCs/>
                <w:sz w:val="22"/>
                <w:szCs w:val="22"/>
              </w:rPr>
              <w:t xml:space="preserve"> </w:t>
            </w:r>
            <w:proofErr w:type="spellStart"/>
            <w:r w:rsidRPr="008504A1">
              <w:rPr>
                <w:rFonts w:eastAsia="Times New Roman"/>
                <w:bCs/>
                <w:sz w:val="22"/>
                <w:szCs w:val="22"/>
              </w:rPr>
              <w:t>investiţie</w:t>
            </w:r>
            <w:proofErr w:type="spellEnd"/>
            <w:r w:rsidRPr="008504A1">
              <w:rPr>
                <w:rFonts w:eastAsia="Times New Roman"/>
                <w:bCs/>
                <w:sz w:val="22"/>
                <w:szCs w:val="22"/>
              </w:rPr>
              <w:t xml:space="preserve"> nu se </w:t>
            </w:r>
            <w:proofErr w:type="spellStart"/>
            <w:r w:rsidRPr="008504A1">
              <w:rPr>
                <w:rFonts w:eastAsia="Times New Roman"/>
                <w:bCs/>
                <w:sz w:val="22"/>
                <w:szCs w:val="22"/>
              </w:rPr>
              <w:t>încadrează</w:t>
            </w:r>
            <w:proofErr w:type="spellEnd"/>
            <w:r w:rsidRPr="008504A1">
              <w:rPr>
                <w:rFonts w:eastAsia="Times New Roman"/>
                <w:bCs/>
                <w:sz w:val="22"/>
                <w:szCs w:val="22"/>
              </w:rPr>
              <w:t xml:space="preserve"> </w:t>
            </w:r>
            <w:proofErr w:type="spellStart"/>
            <w:r w:rsidRPr="008504A1">
              <w:rPr>
                <w:rFonts w:eastAsia="Times New Roman"/>
                <w:bCs/>
                <w:sz w:val="22"/>
                <w:szCs w:val="22"/>
              </w:rPr>
              <w:t>în</w:t>
            </w:r>
            <w:proofErr w:type="spellEnd"/>
            <w:r w:rsidRPr="008504A1">
              <w:rPr>
                <w:rFonts w:eastAsia="Times New Roman"/>
                <w:bCs/>
                <w:sz w:val="22"/>
                <w:szCs w:val="22"/>
              </w:rPr>
              <w:t xml:space="preserve"> </w:t>
            </w:r>
            <w:proofErr w:type="spellStart"/>
            <w:r w:rsidRPr="008504A1">
              <w:rPr>
                <w:rFonts w:eastAsia="Times New Roman"/>
                <w:bCs/>
                <w:sz w:val="22"/>
                <w:szCs w:val="22"/>
              </w:rPr>
              <w:t>condiţiile</w:t>
            </w:r>
            <w:proofErr w:type="spellEnd"/>
            <w:r w:rsidRPr="008504A1">
              <w:rPr>
                <w:rFonts w:eastAsia="Times New Roman"/>
                <w:bCs/>
                <w:sz w:val="22"/>
                <w:szCs w:val="22"/>
              </w:rPr>
              <w:t xml:space="preserve"> </w:t>
            </w:r>
            <w:proofErr w:type="spellStart"/>
            <w:r w:rsidRPr="008504A1">
              <w:rPr>
                <w:rFonts w:eastAsia="Times New Roman"/>
                <w:bCs/>
                <w:sz w:val="22"/>
                <w:szCs w:val="22"/>
              </w:rPr>
              <w:t>t</w:t>
            </w:r>
            <w:r w:rsidRPr="008504A1">
              <w:rPr>
                <w:rFonts w:eastAsia="Times New Roman"/>
                <w:bCs/>
                <w:sz w:val="22"/>
                <w:szCs w:val="22"/>
              </w:rPr>
              <w:t>ehnice</w:t>
            </w:r>
            <w:proofErr w:type="spellEnd"/>
            <w:r w:rsidRPr="008504A1">
              <w:rPr>
                <w:rFonts w:eastAsia="Times New Roman"/>
                <w:bCs/>
                <w:sz w:val="22"/>
                <w:szCs w:val="22"/>
              </w:rPr>
              <w:t xml:space="preserve"> de </w:t>
            </w:r>
            <w:proofErr w:type="spellStart"/>
            <w:r w:rsidRPr="008504A1">
              <w:rPr>
                <w:rFonts w:eastAsia="Times New Roman"/>
                <w:bCs/>
                <w:sz w:val="22"/>
                <w:szCs w:val="22"/>
              </w:rPr>
              <w:t>racordare</w:t>
            </w:r>
            <w:proofErr w:type="spellEnd"/>
            <w:r w:rsidRPr="008504A1">
              <w:rPr>
                <w:rFonts w:eastAsia="Times New Roman"/>
                <w:bCs/>
                <w:sz w:val="22"/>
                <w:szCs w:val="22"/>
              </w:rPr>
              <w:t xml:space="preserve"> a </w:t>
            </w:r>
            <w:proofErr w:type="spellStart"/>
            <w:r w:rsidRPr="008504A1">
              <w:rPr>
                <w:rFonts w:eastAsia="Times New Roman"/>
                <w:bCs/>
                <w:sz w:val="22"/>
                <w:szCs w:val="22"/>
              </w:rPr>
              <w:t>locului</w:t>
            </w:r>
            <w:proofErr w:type="spellEnd"/>
            <w:r w:rsidRPr="008504A1">
              <w:rPr>
                <w:rFonts w:eastAsia="Times New Roman"/>
                <w:bCs/>
                <w:sz w:val="22"/>
                <w:szCs w:val="22"/>
              </w:rPr>
              <w:t xml:space="preserve"> de </w:t>
            </w:r>
            <w:proofErr w:type="spellStart"/>
            <w:r w:rsidRPr="008504A1">
              <w:rPr>
                <w:rFonts w:eastAsia="Times New Roman"/>
                <w:bCs/>
                <w:sz w:val="22"/>
                <w:szCs w:val="22"/>
              </w:rPr>
              <w:t>consum</w:t>
            </w:r>
            <w:proofErr w:type="spellEnd"/>
            <w:r w:rsidRPr="008504A1">
              <w:rPr>
                <w:rFonts w:eastAsia="Times New Roman"/>
                <w:bCs/>
                <w:sz w:val="22"/>
                <w:szCs w:val="22"/>
              </w:rPr>
              <w:t xml:space="preserve"> la SEN (conform ATR) </w:t>
            </w:r>
            <w:proofErr w:type="spellStart"/>
            <w:r w:rsidRPr="008504A1">
              <w:rPr>
                <w:rFonts w:eastAsia="Times New Roman"/>
                <w:bCs/>
                <w:sz w:val="22"/>
                <w:szCs w:val="22"/>
              </w:rPr>
              <w:t>atunci</w:t>
            </w:r>
            <w:proofErr w:type="spellEnd"/>
            <w:r w:rsidRPr="008504A1">
              <w:rPr>
                <w:rFonts w:eastAsia="Times New Roman"/>
                <w:bCs/>
                <w:sz w:val="22"/>
                <w:szCs w:val="22"/>
              </w:rPr>
              <w:t xml:space="preserve"> </w:t>
            </w:r>
            <w:proofErr w:type="spellStart"/>
            <w:r w:rsidRPr="008504A1">
              <w:rPr>
                <w:rFonts w:eastAsia="Times New Roman"/>
                <w:bCs/>
                <w:sz w:val="22"/>
                <w:szCs w:val="22"/>
              </w:rPr>
              <w:t>beneficiarul</w:t>
            </w:r>
            <w:proofErr w:type="spellEnd"/>
            <w:r w:rsidRPr="008504A1">
              <w:rPr>
                <w:rFonts w:eastAsia="Times New Roman"/>
                <w:bCs/>
                <w:sz w:val="22"/>
                <w:szCs w:val="22"/>
              </w:rPr>
              <w:t xml:space="preserve"> </w:t>
            </w:r>
            <w:proofErr w:type="spellStart"/>
            <w:r w:rsidRPr="008504A1">
              <w:rPr>
                <w:rFonts w:eastAsia="Times New Roman"/>
                <w:bCs/>
                <w:sz w:val="22"/>
                <w:szCs w:val="22"/>
              </w:rPr>
              <w:t>va</w:t>
            </w:r>
            <w:proofErr w:type="spellEnd"/>
            <w:r w:rsidRPr="008504A1">
              <w:rPr>
                <w:rFonts w:eastAsia="Times New Roman"/>
                <w:bCs/>
                <w:sz w:val="22"/>
                <w:szCs w:val="22"/>
              </w:rPr>
              <w:t xml:space="preserve"> </w:t>
            </w:r>
            <w:proofErr w:type="spellStart"/>
            <w:r w:rsidRPr="008504A1">
              <w:rPr>
                <w:rFonts w:eastAsia="Times New Roman"/>
                <w:bCs/>
                <w:sz w:val="22"/>
                <w:szCs w:val="22"/>
              </w:rPr>
              <w:t>solicita</w:t>
            </w:r>
            <w:proofErr w:type="spellEnd"/>
            <w:r w:rsidRPr="008504A1">
              <w:rPr>
                <w:rFonts w:eastAsia="Times New Roman"/>
                <w:bCs/>
                <w:sz w:val="22"/>
                <w:szCs w:val="22"/>
              </w:rPr>
              <w:t xml:space="preserve"> </w:t>
            </w:r>
            <w:proofErr w:type="spellStart"/>
            <w:r w:rsidRPr="008504A1">
              <w:rPr>
                <w:rFonts w:eastAsia="Times New Roman"/>
                <w:bCs/>
                <w:sz w:val="22"/>
                <w:szCs w:val="22"/>
              </w:rPr>
              <w:t>Operatorului</w:t>
            </w:r>
            <w:proofErr w:type="spellEnd"/>
            <w:r w:rsidRPr="008504A1">
              <w:rPr>
                <w:rFonts w:eastAsia="Times New Roman"/>
                <w:bCs/>
                <w:sz w:val="22"/>
                <w:szCs w:val="22"/>
              </w:rPr>
              <w:t xml:space="preserve"> de Distribuţie un nou ATR care </w:t>
            </w:r>
            <w:proofErr w:type="spellStart"/>
            <w:r w:rsidRPr="008504A1">
              <w:rPr>
                <w:rFonts w:eastAsia="Times New Roman"/>
                <w:bCs/>
                <w:sz w:val="22"/>
                <w:szCs w:val="22"/>
              </w:rPr>
              <w:t>să</w:t>
            </w:r>
            <w:proofErr w:type="spellEnd"/>
            <w:r w:rsidRPr="008504A1">
              <w:rPr>
                <w:rFonts w:eastAsia="Times New Roman"/>
                <w:bCs/>
                <w:sz w:val="22"/>
                <w:szCs w:val="22"/>
              </w:rPr>
              <w:t xml:space="preserve"> </w:t>
            </w:r>
            <w:proofErr w:type="spellStart"/>
            <w:r w:rsidRPr="008504A1">
              <w:rPr>
                <w:rFonts w:eastAsia="Times New Roman"/>
                <w:bCs/>
                <w:sz w:val="22"/>
                <w:szCs w:val="22"/>
              </w:rPr>
              <w:t>probeze</w:t>
            </w:r>
            <w:proofErr w:type="spellEnd"/>
            <w:r w:rsidRPr="008504A1">
              <w:rPr>
                <w:rFonts w:eastAsia="Times New Roman"/>
                <w:bCs/>
                <w:sz w:val="22"/>
                <w:szCs w:val="22"/>
              </w:rPr>
              <w:t xml:space="preserve"> </w:t>
            </w:r>
            <w:proofErr w:type="spellStart"/>
            <w:r w:rsidRPr="008504A1">
              <w:rPr>
                <w:rFonts w:eastAsia="Times New Roman"/>
                <w:bCs/>
                <w:sz w:val="22"/>
                <w:szCs w:val="22"/>
              </w:rPr>
              <w:t>fezabilitatea</w:t>
            </w:r>
            <w:proofErr w:type="spellEnd"/>
            <w:r w:rsidRPr="008504A1">
              <w:rPr>
                <w:rFonts w:eastAsia="Times New Roman"/>
                <w:bCs/>
                <w:sz w:val="22"/>
                <w:szCs w:val="22"/>
              </w:rPr>
              <w:t xml:space="preserve"> </w:t>
            </w:r>
            <w:proofErr w:type="spellStart"/>
            <w:r w:rsidRPr="008504A1">
              <w:rPr>
                <w:rFonts w:eastAsia="Times New Roman"/>
                <w:bCs/>
                <w:sz w:val="22"/>
                <w:szCs w:val="22"/>
              </w:rPr>
              <w:t>tehnică</w:t>
            </w:r>
            <w:proofErr w:type="spellEnd"/>
            <w:r w:rsidRPr="008504A1">
              <w:rPr>
                <w:rFonts w:eastAsia="Times New Roman"/>
                <w:bCs/>
                <w:sz w:val="22"/>
                <w:szCs w:val="22"/>
              </w:rPr>
              <w:t xml:space="preserve"> a </w:t>
            </w:r>
            <w:proofErr w:type="spellStart"/>
            <w:r w:rsidRPr="008504A1">
              <w:rPr>
                <w:rFonts w:eastAsia="Times New Roman"/>
                <w:bCs/>
                <w:sz w:val="22"/>
                <w:szCs w:val="22"/>
              </w:rPr>
              <w:t>proiectului</w:t>
            </w:r>
            <w:proofErr w:type="spellEnd"/>
            <w:r w:rsidRPr="008504A1">
              <w:rPr>
                <w:rFonts w:eastAsia="Times New Roman"/>
                <w:bCs/>
                <w:color w:val="0070C0"/>
                <w:sz w:val="22"/>
                <w:szCs w:val="22"/>
              </w:rPr>
              <w:t>.</w:t>
            </w:r>
          </w:p>
          <w:p w14:paraId="559622B5" w14:textId="77777777" w:rsidR="00A657B7" w:rsidRPr="00A04CFD" w:rsidRDefault="00A657B7">
            <w:pPr>
              <w:widowControl w:val="0"/>
              <w:spacing w:before="0" w:after="0"/>
              <w:ind w:left="-2"/>
              <w:contextualSpacing/>
              <w:rPr>
                <w:bCs/>
                <w:sz w:val="22"/>
                <w:szCs w:val="22"/>
              </w:rPr>
            </w:pPr>
          </w:p>
          <w:p w14:paraId="7BBE4F3E" w14:textId="77777777" w:rsidR="00A657B7" w:rsidRPr="00A04CFD" w:rsidRDefault="00245051">
            <w:pPr>
              <w:widowControl w:val="0"/>
              <w:spacing w:before="0" w:after="0"/>
              <w:ind w:left="-2"/>
              <w:contextualSpacing/>
              <w:rPr>
                <w:rFonts w:eastAsia="Times New Roman"/>
                <w:bCs/>
                <w:sz w:val="22"/>
                <w:szCs w:val="22"/>
              </w:rPr>
            </w:pPr>
            <w:proofErr w:type="spellStart"/>
            <w:r w:rsidRPr="00A04CFD">
              <w:rPr>
                <w:rFonts w:eastAsia="Times New Roman"/>
                <w:bCs/>
                <w:sz w:val="22"/>
                <w:szCs w:val="22"/>
              </w:rPr>
              <w:t>Atragem</w:t>
            </w:r>
            <w:proofErr w:type="spellEnd"/>
            <w:r w:rsidRPr="00A04CFD">
              <w:rPr>
                <w:rFonts w:eastAsia="Times New Roman"/>
                <w:bCs/>
                <w:sz w:val="22"/>
                <w:szCs w:val="22"/>
              </w:rPr>
              <w:t xml:space="preserve"> </w:t>
            </w:r>
            <w:proofErr w:type="spellStart"/>
            <w:r w:rsidRPr="00A04CFD">
              <w:rPr>
                <w:rFonts w:eastAsia="Times New Roman"/>
                <w:bCs/>
                <w:sz w:val="22"/>
                <w:szCs w:val="22"/>
              </w:rPr>
              <w:t>atenția</w:t>
            </w:r>
            <w:proofErr w:type="spellEnd"/>
            <w:r w:rsidRPr="00A04CFD">
              <w:rPr>
                <w:rFonts w:eastAsia="Times New Roman"/>
                <w:bCs/>
                <w:sz w:val="22"/>
                <w:szCs w:val="22"/>
              </w:rPr>
              <w:t xml:space="preserve"> </w:t>
            </w:r>
            <w:proofErr w:type="spellStart"/>
            <w:r w:rsidRPr="00A04CFD">
              <w:rPr>
                <w:rFonts w:eastAsia="Times New Roman"/>
                <w:bCs/>
                <w:sz w:val="22"/>
                <w:szCs w:val="22"/>
              </w:rPr>
              <w:t>că</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conformitate</w:t>
            </w:r>
            <w:proofErr w:type="spellEnd"/>
            <w:r w:rsidRPr="00A04CFD">
              <w:rPr>
                <w:rFonts w:eastAsia="Times New Roman"/>
                <w:bCs/>
                <w:sz w:val="22"/>
                <w:szCs w:val="22"/>
              </w:rPr>
              <w:t xml:space="preserve"> cu </w:t>
            </w:r>
            <w:proofErr w:type="spellStart"/>
            <w:r w:rsidRPr="00A04CFD">
              <w:rPr>
                <w:rFonts w:eastAsia="Times New Roman"/>
                <w:bCs/>
                <w:sz w:val="22"/>
                <w:szCs w:val="22"/>
              </w:rPr>
              <w:t>datele</w:t>
            </w:r>
            <w:proofErr w:type="spellEnd"/>
            <w:r w:rsidRPr="00A04CFD">
              <w:rPr>
                <w:rFonts w:eastAsia="Times New Roman"/>
                <w:bCs/>
                <w:sz w:val="22"/>
                <w:szCs w:val="22"/>
              </w:rPr>
              <w:t xml:space="preserve"> </w:t>
            </w:r>
            <w:proofErr w:type="spellStart"/>
            <w:r w:rsidRPr="00A04CFD">
              <w:rPr>
                <w:rFonts w:eastAsia="Times New Roman"/>
                <w:bCs/>
                <w:sz w:val="22"/>
                <w:szCs w:val="22"/>
              </w:rPr>
              <w:t>publicate</w:t>
            </w:r>
            <w:proofErr w:type="spellEnd"/>
            <w:r w:rsidRPr="00A04CFD">
              <w:rPr>
                <w:rFonts w:eastAsia="Times New Roman"/>
                <w:bCs/>
                <w:sz w:val="22"/>
                <w:szCs w:val="22"/>
              </w:rPr>
              <w:t xml:space="preserve"> de </w:t>
            </w:r>
            <w:proofErr w:type="spellStart"/>
            <w:r w:rsidRPr="00A04CFD">
              <w:rPr>
                <w:rFonts w:eastAsia="Times New Roman"/>
                <w:bCs/>
                <w:sz w:val="22"/>
                <w:szCs w:val="22"/>
              </w:rPr>
              <w:t>Transelectrica</w:t>
            </w:r>
            <w:proofErr w:type="spellEnd"/>
            <w:r w:rsidRPr="00A04CFD">
              <w:rPr>
                <w:rFonts w:eastAsia="Times New Roman"/>
                <w:bCs/>
                <w:sz w:val="22"/>
                <w:szCs w:val="22"/>
              </w:rPr>
              <w:t xml:space="preserve"> </w:t>
            </w:r>
            <w:proofErr w:type="spellStart"/>
            <w:r w:rsidRPr="00A04CFD">
              <w:rPr>
                <w:rFonts w:eastAsia="Times New Roman"/>
                <w:bCs/>
                <w:sz w:val="22"/>
                <w:szCs w:val="22"/>
              </w:rPr>
              <w:t>posibilitatea</w:t>
            </w:r>
            <w:proofErr w:type="spellEnd"/>
            <w:r w:rsidRPr="00A04CFD">
              <w:rPr>
                <w:rFonts w:eastAsia="Times New Roman"/>
                <w:bCs/>
                <w:sz w:val="22"/>
                <w:szCs w:val="22"/>
              </w:rPr>
              <w:t xml:space="preserve"> de </w:t>
            </w:r>
            <w:proofErr w:type="spellStart"/>
            <w:r w:rsidRPr="00A04CFD">
              <w:rPr>
                <w:rFonts w:eastAsia="Times New Roman"/>
                <w:bCs/>
                <w:sz w:val="22"/>
                <w:szCs w:val="22"/>
              </w:rPr>
              <w:t>obținere</w:t>
            </w:r>
            <w:proofErr w:type="spellEnd"/>
            <w:r w:rsidRPr="00A04CFD">
              <w:rPr>
                <w:rFonts w:eastAsia="Times New Roman"/>
                <w:bCs/>
                <w:sz w:val="22"/>
                <w:szCs w:val="22"/>
              </w:rPr>
              <w:t xml:space="preserve"> </w:t>
            </w:r>
            <w:proofErr w:type="gramStart"/>
            <w:r w:rsidRPr="00A04CFD">
              <w:rPr>
                <w:rFonts w:eastAsia="Times New Roman"/>
                <w:bCs/>
                <w:sz w:val="22"/>
                <w:szCs w:val="22"/>
              </w:rPr>
              <w:t>a</w:t>
            </w:r>
            <w:proofErr w:type="gramEnd"/>
            <w:r w:rsidRPr="00A04CFD">
              <w:rPr>
                <w:rFonts w:eastAsia="Times New Roman"/>
                <w:bCs/>
                <w:sz w:val="22"/>
                <w:szCs w:val="22"/>
              </w:rPr>
              <w:t xml:space="preserve"> </w:t>
            </w:r>
            <w:proofErr w:type="spellStart"/>
            <w:r w:rsidRPr="00A04CFD">
              <w:rPr>
                <w:rFonts w:eastAsia="Times New Roman"/>
                <w:bCs/>
                <w:sz w:val="22"/>
                <w:szCs w:val="22"/>
              </w:rPr>
              <w:t>acordului</w:t>
            </w:r>
            <w:proofErr w:type="spellEnd"/>
            <w:r w:rsidRPr="00A04CFD">
              <w:rPr>
                <w:rFonts w:eastAsia="Times New Roman"/>
                <w:bCs/>
                <w:sz w:val="22"/>
                <w:szCs w:val="22"/>
              </w:rPr>
              <w:t xml:space="preserve"> </w:t>
            </w:r>
            <w:proofErr w:type="spellStart"/>
            <w:r w:rsidRPr="00A04CFD">
              <w:rPr>
                <w:rFonts w:eastAsia="Times New Roman"/>
                <w:bCs/>
                <w:sz w:val="22"/>
                <w:szCs w:val="22"/>
              </w:rPr>
              <w:t>tehnic</w:t>
            </w:r>
            <w:proofErr w:type="spellEnd"/>
            <w:r w:rsidRPr="00A04CFD">
              <w:rPr>
                <w:rFonts w:eastAsia="Times New Roman"/>
                <w:bCs/>
                <w:sz w:val="22"/>
                <w:szCs w:val="22"/>
              </w:rPr>
              <w:t xml:space="preserve"> de </w:t>
            </w:r>
            <w:proofErr w:type="spellStart"/>
            <w:r w:rsidRPr="00A04CFD">
              <w:rPr>
                <w:rFonts w:eastAsia="Times New Roman"/>
                <w:bCs/>
                <w:sz w:val="22"/>
                <w:szCs w:val="22"/>
              </w:rPr>
              <w:t>racordare</w:t>
            </w:r>
            <w:proofErr w:type="spellEnd"/>
            <w:r w:rsidRPr="00A04CFD">
              <w:rPr>
                <w:rFonts w:eastAsia="Times New Roman"/>
                <w:bCs/>
                <w:sz w:val="22"/>
                <w:szCs w:val="22"/>
              </w:rPr>
              <w:t xml:space="preserve"> </w:t>
            </w:r>
            <w:proofErr w:type="spellStart"/>
            <w:r w:rsidRPr="00A04CFD">
              <w:rPr>
                <w:rFonts w:eastAsia="Times New Roman"/>
                <w:bCs/>
                <w:sz w:val="22"/>
                <w:szCs w:val="22"/>
              </w:rPr>
              <w:t>depinde</w:t>
            </w:r>
            <w:proofErr w:type="spellEnd"/>
            <w:r w:rsidRPr="00A04CFD">
              <w:rPr>
                <w:rFonts w:eastAsia="Times New Roman"/>
                <w:bCs/>
                <w:sz w:val="22"/>
                <w:szCs w:val="22"/>
              </w:rPr>
              <w:t xml:space="preserve"> de </w:t>
            </w:r>
            <w:proofErr w:type="spellStart"/>
            <w:r w:rsidRPr="00A04CFD">
              <w:rPr>
                <w:rFonts w:eastAsia="Times New Roman"/>
                <w:bCs/>
                <w:sz w:val="22"/>
                <w:szCs w:val="22"/>
              </w:rPr>
              <w:t>capacitatea</w:t>
            </w:r>
            <w:proofErr w:type="spellEnd"/>
            <w:r w:rsidRPr="00A04CFD">
              <w:rPr>
                <w:rFonts w:eastAsia="Times New Roman"/>
                <w:bCs/>
                <w:sz w:val="22"/>
                <w:szCs w:val="22"/>
              </w:rPr>
              <w:t xml:space="preserve"> </w:t>
            </w:r>
            <w:proofErr w:type="spellStart"/>
            <w:r w:rsidRPr="00A04CFD">
              <w:rPr>
                <w:rFonts w:eastAsia="Times New Roman"/>
                <w:bCs/>
                <w:sz w:val="22"/>
                <w:szCs w:val="22"/>
              </w:rPr>
              <w:t>sistemului</w:t>
            </w:r>
            <w:proofErr w:type="spellEnd"/>
            <w:r w:rsidRPr="00A04CFD">
              <w:rPr>
                <w:rFonts w:eastAsia="Times New Roman"/>
                <w:bCs/>
                <w:sz w:val="22"/>
                <w:szCs w:val="22"/>
              </w:rPr>
              <w:t xml:space="preserve"> energetic </w:t>
            </w:r>
            <w:proofErr w:type="spellStart"/>
            <w:r w:rsidRPr="00A04CFD">
              <w:rPr>
                <w:rFonts w:eastAsia="Times New Roman"/>
                <w:bCs/>
                <w:sz w:val="22"/>
                <w:szCs w:val="22"/>
              </w:rPr>
              <w:t>național</w:t>
            </w:r>
            <w:proofErr w:type="spellEnd"/>
            <w:r w:rsidRPr="00A04CFD">
              <w:rPr>
                <w:rFonts w:eastAsia="Times New Roman"/>
                <w:bCs/>
                <w:sz w:val="22"/>
                <w:szCs w:val="22"/>
              </w:rPr>
              <w:t xml:space="preserve">. </w:t>
            </w:r>
            <w:proofErr w:type="spellStart"/>
            <w:r w:rsidRPr="00A04CFD">
              <w:rPr>
                <w:rFonts w:eastAsia="Times New Roman"/>
                <w:bCs/>
                <w:sz w:val="22"/>
                <w:szCs w:val="22"/>
              </w:rPr>
              <w:t>Vă</w:t>
            </w:r>
            <w:proofErr w:type="spellEnd"/>
            <w:r w:rsidRPr="00A04CFD">
              <w:rPr>
                <w:rFonts w:eastAsia="Times New Roman"/>
                <w:bCs/>
                <w:sz w:val="22"/>
                <w:szCs w:val="22"/>
              </w:rPr>
              <w:t xml:space="preserve"> </w:t>
            </w:r>
            <w:proofErr w:type="spellStart"/>
            <w:r w:rsidRPr="00A04CFD">
              <w:rPr>
                <w:rFonts w:eastAsia="Times New Roman"/>
                <w:bCs/>
                <w:sz w:val="22"/>
                <w:szCs w:val="22"/>
              </w:rPr>
              <w:t>rugăm</w:t>
            </w:r>
            <w:proofErr w:type="spellEnd"/>
            <w:r w:rsidRPr="00A04CFD">
              <w:rPr>
                <w:rFonts w:eastAsia="Times New Roman"/>
                <w:bCs/>
                <w:sz w:val="22"/>
                <w:szCs w:val="22"/>
              </w:rPr>
              <w:t xml:space="preserve"> </w:t>
            </w:r>
            <w:proofErr w:type="spellStart"/>
            <w:r w:rsidRPr="00A04CFD">
              <w:rPr>
                <w:rFonts w:eastAsia="Times New Roman"/>
                <w:bCs/>
                <w:sz w:val="22"/>
                <w:szCs w:val="22"/>
              </w:rPr>
              <w:t>să</w:t>
            </w:r>
            <w:proofErr w:type="spellEnd"/>
            <w:r w:rsidRPr="00A04CFD">
              <w:rPr>
                <w:rFonts w:eastAsia="Times New Roman"/>
                <w:bCs/>
                <w:sz w:val="22"/>
                <w:szCs w:val="22"/>
              </w:rPr>
              <w:t xml:space="preserve"> </w:t>
            </w:r>
            <w:proofErr w:type="spellStart"/>
            <w:r w:rsidRPr="00A04CFD">
              <w:rPr>
                <w:rFonts w:eastAsia="Times New Roman"/>
                <w:bCs/>
                <w:sz w:val="22"/>
                <w:szCs w:val="22"/>
              </w:rPr>
              <w:t>consultați</w:t>
            </w:r>
            <w:proofErr w:type="spellEnd"/>
            <w:r w:rsidRPr="00A04CFD">
              <w:rPr>
                <w:rFonts w:eastAsia="Times New Roman"/>
                <w:bCs/>
                <w:sz w:val="22"/>
                <w:szCs w:val="22"/>
              </w:rPr>
              <w:t xml:space="preserve"> </w:t>
            </w:r>
            <w:proofErr w:type="spellStart"/>
            <w:r w:rsidRPr="00A04CFD">
              <w:rPr>
                <w:rFonts w:eastAsia="Times New Roman"/>
                <w:bCs/>
                <w:sz w:val="22"/>
                <w:szCs w:val="22"/>
              </w:rPr>
              <w:t>informațiile</w:t>
            </w:r>
            <w:proofErr w:type="spellEnd"/>
            <w:r w:rsidRPr="00A04CFD">
              <w:rPr>
                <w:rFonts w:eastAsia="Times New Roman"/>
                <w:bCs/>
                <w:sz w:val="22"/>
                <w:szCs w:val="22"/>
              </w:rPr>
              <w:t xml:space="preserve"> </w:t>
            </w:r>
            <w:proofErr w:type="spellStart"/>
            <w:r w:rsidRPr="00A04CFD">
              <w:rPr>
                <w:rFonts w:eastAsia="Times New Roman"/>
                <w:bCs/>
                <w:sz w:val="22"/>
                <w:szCs w:val="22"/>
              </w:rPr>
              <w:t>publicate</w:t>
            </w:r>
            <w:proofErr w:type="spellEnd"/>
            <w:r w:rsidRPr="00A04CFD">
              <w:rPr>
                <w:rFonts w:eastAsia="Times New Roman"/>
                <w:bCs/>
                <w:sz w:val="22"/>
                <w:szCs w:val="22"/>
              </w:rPr>
              <w:t xml:space="preserve"> la </w:t>
            </w:r>
            <w:proofErr w:type="spellStart"/>
            <w:r w:rsidRPr="00A04CFD">
              <w:rPr>
                <w:rFonts w:eastAsia="Times New Roman"/>
                <w:bCs/>
                <w:sz w:val="22"/>
                <w:szCs w:val="22"/>
              </w:rPr>
              <w:t>adresa</w:t>
            </w:r>
            <w:proofErr w:type="spellEnd"/>
            <w:r w:rsidRPr="00A04CFD">
              <w:rPr>
                <w:rFonts w:eastAsia="Times New Roman"/>
                <w:bCs/>
                <w:sz w:val="22"/>
                <w:szCs w:val="22"/>
              </w:rPr>
              <w:t xml:space="preserve">  </w:t>
            </w:r>
            <w:hyperlink r:id="rId12" w:history="1">
              <w:r w:rsidR="00A657B7" w:rsidRPr="00A04CFD">
                <w:rPr>
                  <w:rStyle w:val="Hyperlink"/>
                  <w:rFonts w:eastAsia="Times New Roman"/>
                  <w:bCs/>
                  <w:sz w:val="22"/>
                  <w:szCs w:val="22"/>
                </w:rPr>
                <w:t>https://web.transelectrica.ro/harti_crd_tel</w:t>
              </w:r>
            </w:hyperlink>
            <w:r w:rsidRPr="00A04CFD">
              <w:rPr>
                <w:rFonts w:eastAsia="Times New Roman"/>
                <w:bCs/>
                <w:sz w:val="22"/>
                <w:szCs w:val="22"/>
              </w:rPr>
              <w:t xml:space="preserve"> . </w:t>
            </w:r>
          </w:p>
          <w:p w14:paraId="4EF30764" w14:textId="77777777" w:rsidR="00A657B7" w:rsidRPr="00A04CFD" w:rsidRDefault="00A657B7">
            <w:pPr>
              <w:widowControl w:val="0"/>
              <w:spacing w:before="0" w:after="0"/>
              <w:ind w:left="-2"/>
              <w:contextualSpacing/>
              <w:rPr>
                <w:bCs/>
                <w:sz w:val="22"/>
                <w:szCs w:val="22"/>
              </w:rPr>
            </w:pPr>
          </w:p>
          <w:p w14:paraId="5C6F698F" w14:textId="77777777" w:rsidR="00A657B7" w:rsidRPr="00A04CFD" w:rsidRDefault="00245051">
            <w:pPr>
              <w:widowControl w:val="0"/>
              <w:spacing w:before="0" w:after="0"/>
              <w:ind w:left="-2"/>
              <w:contextualSpacing/>
              <w:rPr>
                <w:bCs/>
                <w:sz w:val="22"/>
                <w:szCs w:val="22"/>
              </w:rPr>
            </w:pPr>
            <w:proofErr w:type="spellStart"/>
            <w:r w:rsidRPr="00A04CFD">
              <w:rPr>
                <w:rFonts w:eastAsia="Times New Roman"/>
                <w:bCs/>
                <w:sz w:val="22"/>
                <w:szCs w:val="22"/>
              </w:rPr>
              <w:t>Precizăm</w:t>
            </w:r>
            <w:proofErr w:type="spellEnd"/>
            <w:r w:rsidRPr="00A04CFD">
              <w:rPr>
                <w:rFonts w:eastAsia="Times New Roman"/>
                <w:bCs/>
                <w:sz w:val="22"/>
                <w:szCs w:val="22"/>
              </w:rPr>
              <w:t xml:space="preserve"> </w:t>
            </w:r>
            <w:proofErr w:type="spellStart"/>
            <w:r w:rsidRPr="00A04CFD">
              <w:rPr>
                <w:rFonts w:eastAsia="Times New Roman"/>
                <w:bCs/>
                <w:sz w:val="22"/>
                <w:szCs w:val="22"/>
              </w:rPr>
              <w:t>că</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conformitate</w:t>
            </w:r>
            <w:proofErr w:type="spellEnd"/>
            <w:r w:rsidRPr="00A04CFD">
              <w:rPr>
                <w:rFonts w:eastAsia="Times New Roman"/>
                <w:bCs/>
                <w:sz w:val="22"/>
                <w:szCs w:val="22"/>
              </w:rPr>
              <w:t xml:space="preserve"> cu </w:t>
            </w:r>
            <w:proofErr w:type="spellStart"/>
            <w:r w:rsidRPr="00A04CFD">
              <w:rPr>
                <w:rFonts w:eastAsia="Times New Roman"/>
                <w:bCs/>
                <w:sz w:val="22"/>
                <w:szCs w:val="22"/>
              </w:rPr>
              <w:t>clauzele</w:t>
            </w:r>
            <w:proofErr w:type="spellEnd"/>
            <w:r w:rsidRPr="00A04CFD">
              <w:rPr>
                <w:rFonts w:eastAsia="Times New Roman"/>
                <w:bCs/>
                <w:sz w:val="22"/>
                <w:szCs w:val="22"/>
              </w:rPr>
              <w:t xml:space="preserve"> </w:t>
            </w:r>
            <w:proofErr w:type="spellStart"/>
            <w:r w:rsidRPr="00A04CFD">
              <w:rPr>
                <w:rFonts w:eastAsia="Times New Roman"/>
                <w:bCs/>
                <w:sz w:val="22"/>
                <w:szCs w:val="22"/>
              </w:rPr>
              <w:t>contractului</w:t>
            </w:r>
            <w:proofErr w:type="spellEnd"/>
            <w:r w:rsidRPr="00A04CFD">
              <w:rPr>
                <w:rFonts w:eastAsia="Times New Roman"/>
                <w:bCs/>
                <w:sz w:val="22"/>
                <w:szCs w:val="22"/>
              </w:rPr>
              <w:t xml:space="preserve"> de </w:t>
            </w:r>
            <w:proofErr w:type="spellStart"/>
            <w:r w:rsidRPr="00A04CFD">
              <w:rPr>
                <w:rFonts w:eastAsia="Times New Roman"/>
                <w:bCs/>
                <w:sz w:val="22"/>
                <w:szCs w:val="22"/>
              </w:rPr>
              <w:t>finanțare</w:t>
            </w:r>
            <w:proofErr w:type="spellEnd"/>
            <w:r w:rsidRPr="00A04CFD">
              <w:rPr>
                <w:rFonts w:eastAsia="Times New Roman"/>
                <w:bCs/>
                <w:sz w:val="22"/>
                <w:szCs w:val="22"/>
              </w:rPr>
              <w:t xml:space="preserve">, </w:t>
            </w:r>
            <w:proofErr w:type="spellStart"/>
            <w:r w:rsidRPr="00A04CFD">
              <w:rPr>
                <w:rFonts w:eastAsia="Times New Roman"/>
                <w:bCs/>
                <w:sz w:val="22"/>
                <w:szCs w:val="22"/>
              </w:rPr>
              <w:t>beneficiarul</w:t>
            </w:r>
            <w:proofErr w:type="spellEnd"/>
            <w:r w:rsidRPr="00A04CFD">
              <w:rPr>
                <w:rFonts w:eastAsia="Times New Roman"/>
                <w:bCs/>
                <w:sz w:val="22"/>
                <w:szCs w:val="22"/>
              </w:rPr>
              <w:t xml:space="preserve"> are </w:t>
            </w:r>
            <w:proofErr w:type="spellStart"/>
            <w:r w:rsidRPr="00A04CFD">
              <w:rPr>
                <w:rFonts w:eastAsia="Times New Roman"/>
                <w:bCs/>
                <w:sz w:val="22"/>
                <w:szCs w:val="22"/>
              </w:rPr>
              <w:t>obligația</w:t>
            </w:r>
            <w:proofErr w:type="spellEnd"/>
            <w:r w:rsidRPr="00A04CFD">
              <w:rPr>
                <w:rFonts w:eastAsia="Times New Roman"/>
                <w:bCs/>
                <w:sz w:val="22"/>
                <w:szCs w:val="22"/>
              </w:rPr>
              <w:t xml:space="preserve"> </w:t>
            </w:r>
            <w:proofErr w:type="spellStart"/>
            <w:r w:rsidRPr="00A04CFD">
              <w:rPr>
                <w:rFonts w:eastAsia="Times New Roman"/>
                <w:bCs/>
                <w:sz w:val="22"/>
                <w:szCs w:val="22"/>
              </w:rPr>
              <w:t>obținerii</w:t>
            </w:r>
            <w:proofErr w:type="spellEnd"/>
            <w:r w:rsidRPr="00A04CFD">
              <w:rPr>
                <w:rFonts w:eastAsia="Times New Roman"/>
                <w:bCs/>
                <w:sz w:val="22"/>
                <w:szCs w:val="22"/>
              </w:rPr>
              <w:t xml:space="preserve"> </w:t>
            </w:r>
            <w:proofErr w:type="spellStart"/>
            <w:r w:rsidRPr="00A04CFD">
              <w:rPr>
                <w:rFonts w:eastAsia="Times New Roman"/>
                <w:bCs/>
                <w:sz w:val="22"/>
                <w:szCs w:val="22"/>
              </w:rPr>
              <w:t>tuturor</w:t>
            </w:r>
            <w:proofErr w:type="spellEnd"/>
            <w:r w:rsidRPr="00A04CFD">
              <w:rPr>
                <w:rFonts w:eastAsia="Times New Roman"/>
                <w:bCs/>
                <w:sz w:val="22"/>
                <w:szCs w:val="22"/>
              </w:rPr>
              <w:t xml:space="preserve"> </w:t>
            </w:r>
            <w:proofErr w:type="spellStart"/>
            <w:r w:rsidRPr="00A04CFD">
              <w:rPr>
                <w:rFonts w:eastAsia="Times New Roman"/>
                <w:bCs/>
                <w:sz w:val="22"/>
                <w:szCs w:val="22"/>
              </w:rPr>
              <w:t>avizelor</w:t>
            </w:r>
            <w:proofErr w:type="spellEnd"/>
            <w:r w:rsidRPr="00A04CFD">
              <w:rPr>
                <w:rFonts w:eastAsia="Times New Roman"/>
                <w:bCs/>
                <w:sz w:val="22"/>
                <w:szCs w:val="22"/>
              </w:rPr>
              <w:t xml:space="preserve">, </w:t>
            </w:r>
            <w:proofErr w:type="spellStart"/>
            <w:r w:rsidRPr="00A04CFD">
              <w:rPr>
                <w:rFonts w:eastAsia="Times New Roman"/>
                <w:bCs/>
                <w:sz w:val="22"/>
                <w:szCs w:val="22"/>
              </w:rPr>
              <w:t>acordurilor</w:t>
            </w:r>
            <w:proofErr w:type="spellEnd"/>
            <w:r w:rsidRPr="00A04CFD">
              <w:rPr>
                <w:rFonts w:eastAsia="Times New Roman"/>
                <w:bCs/>
                <w:sz w:val="22"/>
                <w:szCs w:val="22"/>
              </w:rPr>
              <w:t xml:space="preserve">, </w:t>
            </w:r>
            <w:proofErr w:type="spellStart"/>
            <w:r w:rsidRPr="00A04CFD">
              <w:rPr>
                <w:rFonts w:eastAsia="Times New Roman"/>
                <w:bCs/>
                <w:sz w:val="22"/>
                <w:szCs w:val="22"/>
              </w:rPr>
              <w:t>autorizațiilor</w:t>
            </w:r>
            <w:proofErr w:type="spellEnd"/>
            <w:r w:rsidRPr="00A04CFD">
              <w:rPr>
                <w:rFonts w:eastAsia="Times New Roman"/>
                <w:bCs/>
                <w:sz w:val="22"/>
                <w:szCs w:val="22"/>
              </w:rPr>
              <w:t xml:space="preserve"> conform </w:t>
            </w:r>
            <w:proofErr w:type="spellStart"/>
            <w:r w:rsidRPr="00A04CFD">
              <w:rPr>
                <w:rFonts w:eastAsia="Times New Roman"/>
                <w:bCs/>
                <w:sz w:val="22"/>
                <w:szCs w:val="22"/>
              </w:rPr>
              <w:t>prevederilor</w:t>
            </w:r>
            <w:proofErr w:type="spellEnd"/>
            <w:r w:rsidRPr="00A04CFD">
              <w:rPr>
                <w:rFonts w:eastAsia="Times New Roman"/>
                <w:bCs/>
                <w:sz w:val="22"/>
                <w:szCs w:val="22"/>
              </w:rPr>
              <w:t xml:space="preserve"> </w:t>
            </w:r>
            <w:proofErr w:type="spellStart"/>
            <w:r w:rsidRPr="00A04CFD">
              <w:rPr>
                <w:rFonts w:eastAsia="Times New Roman"/>
                <w:bCs/>
                <w:sz w:val="22"/>
                <w:szCs w:val="22"/>
              </w:rPr>
              <w:t>legale</w:t>
            </w:r>
            <w:proofErr w:type="spellEnd"/>
            <w:r w:rsidRPr="00A04CFD">
              <w:rPr>
                <w:rFonts w:eastAsia="Times New Roman"/>
                <w:bCs/>
                <w:sz w:val="22"/>
                <w:szCs w:val="22"/>
              </w:rPr>
              <w:t xml:space="preserve"> </w:t>
            </w:r>
            <w:proofErr w:type="spellStart"/>
            <w:r w:rsidRPr="00A04CFD">
              <w:rPr>
                <w:rFonts w:eastAsia="Times New Roman"/>
                <w:bCs/>
                <w:sz w:val="22"/>
                <w:szCs w:val="22"/>
              </w:rPr>
              <w:t>aplicabile</w:t>
            </w:r>
            <w:proofErr w:type="spellEnd"/>
            <w:r w:rsidRPr="00A04CFD">
              <w:rPr>
                <w:rFonts w:eastAsia="Times New Roman"/>
                <w:bCs/>
                <w:sz w:val="22"/>
                <w:szCs w:val="22"/>
              </w:rPr>
              <w:t xml:space="preserve">, </w:t>
            </w:r>
            <w:proofErr w:type="spellStart"/>
            <w:r w:rsidRPr="00A04CFD">
              <w:rPr>
                <w:rFonts w:eastAsia="Times New Roman"/>
                <w:bCs/>
                <w:sz w:val="22"/>
                <w:szCs w:val="22"/>
              </w:rPr>
              <w:t>necesare</w:t>
            </w:r>
            <w:proofErr w:type="spellEnd"/>
            <w:r w:rsidRPr="00A04CFD">
              <w:rPr>
                <w:rFonts w:eastAsia="Times New Roman"/>
                <w:bCs/>
                <w:sz w:val="22"/>
                <w:szCs w:val="22"/>
              </w:rPr>
              <w:t xml:space="preserve"> </w:t>
            </w:r>
            <w:proofErr w:type="spellStart"/>
            <w:r w:rsidRPr="00A04CFD">
              <w:rPr>
                <w:rFonts w:eastAsia="Times New Roman"/>
                <w:bCs/>
                <w:sz w:val="22"/>
                <w:szCs w:val="22"/>
              </w:rPr>
              <w:t>pentru</w:t>
            </w:r>
            <w:proofErr w:type="spellEnd"/>
            <w:r w:rsidRPr="00A04CFD">
              <w:rPr>
                <w:rFonts w:eastAsia="Times New Roman"/>
                <w:bCs/>
                <w:sz w:val="22"/>
                <w:szCs w:val="22"/>
              </w:rPr>
              <w:t xml:space="preserve"> </w:t>
            </w:r>
            <w:proofErr w:type="spellStart"/>
            <w:r w:rsidRPr="00A04CFD">
              <w:rPr>
                <w:rFonts w:eastAsia="Times New Roman"/>
                <w:bCs/>
                <w:sz w:val="22"/>
                <w:szCs w:val="22"/>
              </w:rPr>
              <w:t>realizarea</w:t>
            </w:r>
            <w:proofErr w:type="spellEnd"/>
            <w:r w:rsidRPr="00A04CFD">
              <w:rPr>
                <w:rFonts w:eastAsia="Times New Roman"/>
                <w:bCs/>
                <w:sz w:val="22"/>
                <w:szCs w:val="22"/>
              </w:rPr>
              <w:t xml:space="preserve"> </w:t>
            </w:r>
            <w:proofErr w:type="spellStart"/>
            <w:r w:rsidRPr="00A04CFD">
              <w:rPr>
                <w:rFonts w:eastAsia="Times New Roman"/>
                <w:bCs/>
                <w:sz w:val="22"/>
                <w:szCs w:val="22"/>
              </w:rPr>
              <w:t>investiției</w:t>
            </w:r>
            <w:proofErr w:type="spellEnd"/>
            <w:r w:rsidRPr="00A04CFD">
              <w:rPr>
                <w:rFonts w:eastAsia="Times New Roman"/>
                <w:bCs/>
                <w:sz w:val="22"/>
                <w:szCs w:val="22"/>
              </w:rPr>
              <w:t xml:space="preserve">, precum </w:t>
            </w:r>
            <w:proofErr w:type="spellStart"/>
            <w:r w:rsidRPr="00A04CFD">
              <w:rPr>
                <w:rFonts w:eastAsia="Times New Roman"/>
                <w:bCs/>
                <w:sz w:val="22"/>
                <w:szCs w:val="22"/>
              </w:rPr>
              <w:t>și</w:t>
            </w:r>
            <w:proofErr w:type="spellEnd"/>
            <w:r w:rsidRPr="00A04CFD">
              <w:rPr>
                <w:rFonts w:eastAsia="Times New Roman"/>
                <w:bCs/>
                <w:sz w:val="22"/>
                <w:szCs w:val="22"/>
              </w:rPr>
              <w:t xml:space="preserve"> </w:t>
            </w:r>
            <w:proofErr w:type="spellStart"/>
            <w:r w:rsidRPr="00A04CFD">
              <w:rPr>
                <w:rFonts w:eastAsia="Times New Roman"/>
                <w:bCs/>
                <w:sz w:val="22"/>
                <w:szCs w:val="22"/>
              </w:rPr>
              <w:t>pentru</w:t>
            </w:r>
            <w:proofErr w:type="spellEnd"/>
            <w:r w:rsidRPr="00A04CFD">
              <w:rPr>
                <w:rFonts w:eastAsia="Times New Roman"/>
                <w:bCs/>
                <w:sz w:val="22"/>
                <w:szCs w:val="22"/>
              </w:rPr>
              <w:t xml:space="preserve"> </w:t>
            </w:r>
            <w:proofErr w:type="spellStart"/>
            <w:r w:rsidRPr="00A04CFD">
              <w:rPr>
                <w:rFonts w:eastAsia="Times New Roman"/>
                <w:bCs/>
                <w:sz w:val="22"/>
                <w:szCs w:val="22"/>
              </w:rPr>
              <w:t>punerea</w:t>
            </w:r>
            <w:proofErr w:type="spellEnd"/>
            <w:r w:rsidRPr="00A04CFD">
              <w:rPr>
                <w:rFonts w:eastAsia="Times New Roman"/>
                <w:bCs/>
                <w:sz w:val="22"/>
                <w:szCs w:val="22"/>
              </w:rPr>
              <w:t xml:space="preserve"> </w:t>
            </w:r>
            <w:proofErr w:type="spellStart"/>
            <w:r w:rsidRPr="00A04CFD">
              <w:rPr>
                <w:rFonts w:eastAsia="Times New Roman"/>
                <w:bCs/>
                <w:sz w:val="22"/>
                <w:szCs w:val="22"/>
              </w:rPr>
              <w:t>acesteia</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funcțiune</w:t>
            </w:r>
            <w:proofErr w:type="spellEnd"/>
            <w:r w:rsidRPr="00A04CFD">
              <w:rPr>
                <w:rFonts w:eastAsia="Times New Roman"/>
                <w:bCs/>
                <w:sz w:val="22"/>
                <w:szCs w:val="22"/>
              </w:rPr>
              <w:t xml:space="preserve"> </w:t>
            </w:r>
            <w:proofErr w:type="spellStart"/>
            <w:r w:rsidRPr="00A04CFD">
              <w:rPr>
                <w:rFonts w:eastAsia="Times New Roman"/>
                <w:bCs/>
                <w:sz w:val="22"/>
                <w:szCs w:val="22"/>
              </w:rPr>
              <w:t>și</w:t>
            </w:r>
            <w:proofErr w:type="spellEnd"/>
            <w:r w:rsidRPr="00A04CFD">
              <w:rPr>
                <w:rFonts w:eastAsia="Times New Roman"/>
                <w:bCs/>
                <w:sz w:val="22"/>
                <w:szCs w:val="22"/>
              </w:rPr>
              <w:t>/</w:t>
            </w:r>
            <w:proofErr w:type="spellStart"/>
            <w:r w:rsidRPr="00A04CFD">
              <w:rPr>
                <w:rFonts w:eastAsia="Times New Roman"/>
                <w:bCs/>
                <w:sz w:val="22"/>
                <w:szCs w:val="22"/>
              </w:rPr>
              <w:t>sau</w:t>
            </w:r>
            <w:proofErr w:type="spellEnd"/>
            <w:r w:rsidRPr="00A04CFD">
              <w:rPr>
                <w:rFonts w:eastAsia="Times New Roman"/>
                <w:bCs/>
                <w:sz w:val="22"/>
                <w:szCs w:val="22"/>
              </w:rPr>
              <w:t xml:space="preserve"> </w:t>
            </w:r>
            <w:proofErr w:type="spellStart"/>
            <w:r w:rsidRPr="00A04CFD">
              <w:rPr>
                <w:rFonts w:eastAsia="Times New Roman"/>
                <w:bCs/>
                <w:sz w:val="22"/>
                <w:szCs w:val="22"/>
              </w:rPr>
              <w:t>operarea</w:t>
            </w:r>
            <w:proofErr w:type="spellEnd"/>
            <w:r w:rsidRPr="00A04CFD">
              <w:rPr>
                <w:rFonts w:eastAsia="Times New Roman"/>
                <w:bCs/>
                <w:sz w:val="22"/>
                <w:szCs w:val="22"/>
              </w:rPr>
              <w:t xml:space="preserve"> </w:t>
            </w:r>
            <w:proofErr w:type="spellStart"/>
            <w:r w:rsidRPr="00A04CFD">
              <w:rPr>
                <w:rFonts w:eastAsia="Times New Roman"/>
                <w:bCs/>
                <w:sz w:val="22"/>
                <w:szCs w:val="22"/>
              </w:rPr>
              <w:t>acesteia</w:t>
            </w:r>
            <w:proofErr w:type="spellEnd"/>
            <w:r w:rsidRPr="00A04CFD">
              <w:rPr>
                <w:rFonts w:eastAsia="Times New Roman"/>
                <w:bCs/>
                <w:sz w:val="22"/>
                <w:szCs w:val="22"/>
              </w:rPr>
              <w:t xml:space="preserve"> pe </w:t>
            </w:r>
            <w:proofErr w:type="spellStart"/>
            <w:r w:rsidRPr="00A04CFD">
              <w:rPr>
                <w:rFonts w:eastAsia="Times New Roman"/>
                <w:bCs/>
                <w:sz w:val="22"/>
                <w:szCs w:val="22"/>
              </w:rPr>
              <w:t>întreaga</w:t>
            </w:r>
            <w:proofErr w:type="spellEnd"/>
            <w:r w:rsidRPr="00A04CFD">
              <w:rPr>
                <w:rFonts w:eastAsia="Times New Roman"/>
                <w:bCs/>
                <w:sz w:val="22"/>
                <w:szCs w:val="22"/>
              </w:rPr>
              <w:t xml:space="preserve"> </w:t>
            </w:r>
            <w:proofErr w:type="spellStart"/>
            <w:r w:rsidRPr="00A04CFD">
              <w:rPr>
                <w:rFonts w:eastAsia="Times New Roman"/>
                <w:bCs/>
                <w:sz w:val="22"/>
                <w:szCs w:val="22"/>
              </w:rPr>
              <w:t>perioadă</w:t>
            </w:r>
            <w:proofErr w:type="spellEnd"/>
            <w:r w:rsidRPr="00A04CFD">
              <w:rPr>
                <w:rFonts w:eastAsia="Times New Roman"/>
                <w:bCs/>
                <w:sz w:val="22"/>
                <w:szCs w:val="22"/>
              </w:rPr>
              <w:t xml:space="preserve"> de </w:t>
            </w:r>
            <w:proofErr w:type="spellStart"/>
            <w:r w:rsidRPr="00A04CFD">
              <w:rPr>
                <w:rFonts w:eastAsia="Times New Roman"/>
                <w:bCs/>
                <w:sz w:val="22"/>
                <w:szCs w:val="22"/>
              </w:rPr>
              <w:t>durabilitate</w:t>
            </w:r>
            <w:proofErr w:type="spellEnd"/>
            <w:r w:rsidRPr="00A04CFD">
              <w:rPr>
                <w:rFonts w:eastAsia="Times New Roman"/>
                <w:bCs/>
                <w:sz w:val="22"/>
                <w:szCs w:val="22"/>
              </w:rPr>
              <w:t xml:space="preserve">. </w:t>
            </w:r>
          </w:p>
          <w:p w14:paraId="393171CF" w14:textId="77777777" w:rsidR="00A657B7" w:rsidRPr="00A04CFD" w:rsidRDefault="00A657B7">
            <w:pPr>
              <w:widowControl w:val="0"/>
              <w:spacing w:before="0" w:after="0"/>
              <w:ind w:left="-2"/>
              <w:contextualSpacing/>
              <w:rPr>
                <w:bCs/>
                <w:color w:val="FF0000"/>
                <w:sz w:val="22"/>
                <w:szCs w:val="22"/>
              </w:rPr>
            </w:pPr>
          </w:p>
          <w:p w14:paraId="38E7EA64" w14:textId="77777777" w:rsidR="00A657B7" w:rsidRPr="00A04CFD" w:rsidRDefault="00A657B7">
            <w:pPr>
              <w:widowControl w:val="0"/>
              <w:spacing w:before="0" w:after="0"/>
              <w:ind w:left="-2"/>
              <w:contextualSpacing/>
              <w:jc w:val="left"/>
              <w:rPr>
                <w:bCs/>
                <w:color w:val="0070C0"/>
                <w:sz w:val="22"/>
                <w:szCs w:val="22"/>
              </w:rPr>
            </w:pPr>
          </w:p>
          <w:p w14:paraId="3417D027" w14:textId="77777777" w:rsidR="00A657B7" w:rsidRPr="00A04CFD" w:rsidRDefault="00245051">
            <w:pPr>
              <w:widowControl w:val="0"/>
              <w:spacing w:before="0" w:after="0"/>
              <w:ind w:left="-2"/>
              <w:contextualSpacing/>
              <w:rPr>
                <w:bCs/>
                <w:sz w:val="22"/>
                <w:szCs w:val="22"/>
              </w:rPr>
            </w:pPr>
            <w:proofErr w:type="spellStart"/>
            <w:r w:rsidRPr="00A04CFD">
              <w:rPr>
                <w:rFonts w:eastAsia="Times New Roman"/>
                <w:bCs/>
                <w:sz w:val="22"/>
                <w:szCs w:val="22"/>
              </w:rPr>
              <w:t>Sistemele</w:t>
            </w:r>
            <w:proofErr w:type="spellEnd"/>
            <w:r w:rsidRPr="00A04CFD">
              <w:rPr>
                <w:rFonts w:eastAsia="Times New Roman"/>
                <w:bCs/>
                <w:sz w:val="22"/>
                <w:szCs w:val="22"/>
              </w:rPr>
              <w:t xml:space="preserve"> de </w:t>
            </w:r>
            <w:proofErr w:type="spellStart"/>
            <w:r w:rsidRPr="00A04CFD">
              <w:rPr>
                <w:rFonts w:eastAsia="Times New Roman"/>
                <w:bCs/>
                <w:sz w:val="22"/>
                <w:szCs w:val="22"/>
              </w:rPr>
              <w:t>producere</w:t>
            </w:r>
            <w:proofErr w:type="spellEnd"/>
            <w:r w:rsidRPr="00A04CFD">
              <w:rPr>
                <w:rFonts w:eastAsia="Times New Roman"/>
                <w:bCs/>
                <w:sz w:val="22"/>
                <w:szCs w:val="22"/>
              </w:rPr>
              <w:t xml:space="preserve"> a </w:t>
            </w:r>
            <w:proofErr w:type="spellStart"/>
            <w:r w:rsidRPr="00A04CFD">
              <w:rPr>
                <w:rFonts w:eastAsia="Times New Roman"/>
                <w:bCs/>
                <w:sz w:val="22"/>
                <w:szCs w:val="22"/>
              </w:rPr>
              <w:t>energiei</w:t>
            </w:r>
            <w:proofErr w:type="spellEnd"/>
            <w:r w:rsidRPr="00A04CFD">
              <w:rPr>
                <w:rFonts w:eastAsia="Times New Roman"/>
                <w:bCs/>
                <w:sz w:val="22"/>
                <w:szCs w:val="22"/>
              </w:rPr>
              <w:t xml:space="preserve"> </w:t>
            </w:r>
            <w:proofErr w:type="spellStart"/>
            <w:r w:rsidRPr="00A04CFD">
              <w:rPr>
                <w:rFonts w:eastAsia="Times New Roman"/>
                <w:bCs/>
                <w:sz w:val="22"/>
                <w:szCs w:val="22"/>
              </w:rPr>
              <w:t>utilizând</w:t>
            </w:r>
            <w:proofErr w:type="spellEnd"/>
            <w:r w:rsidRPr="00A04CFD">
              <w:rPr>
                <w:rFonts w:eastAsia="Times New Roman"/>
                <w:bCs/>
                <w:sz w:val="22"/>
                <w:szCs w:val="22"/>
              </w:rPr>
              <w:t xml:space="preserve"> </w:t>
            </w:r>
            <w:proofErr w:type="spellStart"/>
            <w:r w:rsidRPr="00A04CFD">
              <w:rPr>
                <w:rFonts w:eastAsia="Times New Roman"/>
                <w:bCs/>
                <w:sz w:val="22"/>
                <w:szCs w:val="22"/>
              </w:rPr>
              <w:t>surse</w:t>
            </w:r>
            <w:proofErr w:type="spellEnd"/>
            <w:r w:rsidRPr="00A04CFD">
              <w:rPr>
                <w:rFonts w:eastAsia="Times New Roman"/>
                <w:bCs/>
                <w:sz w:val="22"/>
                <w:szCs w:val="22"/>
              </w:rPr>
              <w:t xml:space="preserve"> </w:t>
            </w:r>
            <w:proofErr w:type="spellStart"/>
            <w:r w:rsidRPr="00A04CFD">
              <w:rPr>
                <w:rFonts w:eastAsia="Times New Roman"/>
                <w:bCs/>
                <w:sz w:val="22"/>
                <w:szCs w:val="22"/>
              </w:rPr>
              <w:t>regenerabile</w:t>
            </w:r>
            <w:proofErr w:type="spellEnd"/>
            <w:r w:rsidRPr="00A04CFD">
              <w:rPr>
                <w:rFonts w:eastAsia="Times New Roman"/>
                <w:bCs/>
                <w:sz w:val="22"/>
                <w:szCs w:val="22"/>
              </w:rPr>
              <w:t xml:space="preserve"> </w:t>
            </w:r>
            <w:proofErr w:type="spellStart"/>
            <w:r w:rsidRPr="00A04CFD">
              <w:rPr>
                <w:rFonts w:eastAsia="Times New Roman"/>
                <w:bCs/>
                <w:sz w:val="22"/>
                <w:szCs w:val="22"/>
              </w:rPr>
              <w:t>si</w:t>
            </w:r>
            <w:proofErr w:type="spellEnd"/>
            <w:r w:rsidRPr="00A04CFD">
              <w:rPr>
                <w:rFonts w:eastAsia="Times New Roman"/>
                <w:bCs/>
                <w:sz w:val="22"/>
                <w:szCs w:val="22"/>
              </w:rPr>
              <w:t xml:space="preserve"> </w:t>
            </w:r>
            <w:proofErr w:type="spellStart"/>
            <w:r w:rsidRPr="00A04CFD">
              <w:rPr>
                <w:rFonts w:eastAsia="Times New Roman"/>
                <w:bCs/>
                <w:sz w:val="22"/>
                <w:szCs w:val="22"/>
              </w:rPr>
              <w:t>sistemele</w:t>
            </w:r>
            <w:proofErr w:type="spellEnd"/>
            <w:r w:rsidRPr="00A04CFD">
              <w:rPr>
                <w:rFonts w:eastAsia="Times New Roman"/>
                <w:bCs/>
                <w:sz w:val="22"/>
                <w:szCs w:val="22"/>
              </w:rPr>
              <w:t xml:space="preserve"> de </w:t>
            </w:r>
            <w:proofErr w:type="spellStart"/>
            <w:r w:rsidRPr="00A04CFD">
              <w:rPr>
                <w:rFonts w:eastAsia="Times New Roman"/>
                <w:bCs/>
                <w:sz w:val="22"/>
                <w:szCs w:val="22"/>
              </w:rPr>
              <w:t>stocare</w:t>
            </w:r>
            <w:proofErr w:type="spellEnd"/>
            <w:r w:rsidRPr="00A04CFD">
              <w:rPr>
                <w:rFonts w:eastAsia="Times New Roman"/>
                <w:bCs/>
                <w:sz w:val="22"/>
                <w:szCs w:val="22"/>
              </w:rPr>
              <w:t xml:space="preserve"> </w:t>
            </w:r>
            <w:proofErr w:type="spellStart"/>
            <w:r w:rsidRPr="00A04CFD">
              <w:rPr>
                <w:rFonts w:eastAsia="Times New Roman"/>
                <w:bCs/>
                <w:sz w:val="22"/>
                <w:szCs w:val="22"/>
              </w:rPr>
              <w:t>aferente</w:t>
            </w:r>
            <w:proofErr w:type="spellEnd"/>
            <w:r w:rsidRPr="00A04CFD">
              <w:rPr>
                <w:rFonts w:eastAsia="Times New Roman"/>
                <w:bCs/>
                <w:sz w:val="22"/>
                <w:szCs w:val="22"/>
              </w:rPr>
              <w:t xml:space="preserve"> (</w:t>
            </w:r>
            <w:proofErr w:type="spellStart"/>
            <w:r w:rsidRPr="00A04CFD">
              <w:rPr>
                <w:rFonts w:eastAsia="Times New Roman"/>
                <w:bCs/>
                <w:sz w:val="22"/>
                <w:szCs w:val="22"/>
              </w:rPr>
              <w:t>acolo</w:t>
            </w:r>
            <w:proofErr w:type="spellEnd"/>
            <w:r w:rsidRPr="00A04CFD">
              <w:rPr>
                <w:rFonts w:eastAsia="Times New Roman"/>
                <w:bCs/>
                <w:sz w:val="22"/>
                <w:szCs w:val="22"/>
              </w:rPr>
              <w:t xml:space="preserve"> </w:t>
            </w:r>
            <w:proofErr w:type="spellStart"/>
            <w:r w:rsidRPr="00A04CFD">
              <w:rPr>
                <w:rFonts w:eastAsia="Times New Roman"/>
                <w:bCs/>
                <w:sz w:val="22"/>
                <w:szCs w:val="22"/>
              </w:rPr>
              <w:t>unde</w:t>
            </w:r>
            <w:proofErr w:type="spellEnd"/>
            <w:r w:rsidRPr="00A04CFD">
              <w:rPr>
                <w:rFonts w:eastAsia="Times New Roman"/>
                <w:bCs/>
                <w:sz w:val="22"/>
                <w:szCs w:val="22"/>
              </w:rPr>
              <w:t xml:space="preserve"> </w:t>
            </w:r>
            <w:proofErr w:type="spellStart"/>
            <w:r w:rsidRPr="00A04CFD">
              <w:rPr>
                <w:rFonts w:eastAsia="Times New Roman"/>
                <w:bCs/>
                <w:sz w:val="22"/>
                <w:szCs w:val="22"/>
              </w:rPr>
              <w:t>este</w:t>
            </w:r>
            <w:proofErr w:type="spellEnd"/>
            <w:r w:rsidRPr="00A04CFD">
              <w:rPr>
                <w:rFonts w:eastAsia="Times New Roman"/>
                <w:bCs/>
                <w:sz w:val="22"/>
                <w:szCs w:val="22"/>
              </w:rPr>
              <w:t xml:space="preserve"> </w:t>
            </w:r>
            <w:proofErr w:type="spellStart"/>
            <w:r w:rsidRPr="00A04CFD">
              <w:rPr>
                <w:rFonts w:eastAsia="Times New Roman"/>
                <w:bCs/>
                <w:sz w:val="22"/>
                <w:szCs w:val="22"/>
              </w:rPr>
              <w:t>cazul</w:t>
            </w:r>
            <w:proofErr w:type="spellEnd"/>
            <w:r w:rsidRPr="00A04CFD">
              <w:rPr>
                <w:rFonts w:eastAsia="Times New Roman"/>
                <w:bCs/>
                <w:sz w:val="22"/>
                <w:szCs w:val="22"/>
              </w:rPr>
              <w:t xml:space="preserve">) pot fi </w:t>
            </w:r>
            <w:proofErr w:type="spellStart"/>
            <w:r w:rsidRPr="00A04CFD">
              <w:rPr>
                <w:rFonts w:eastAsia="Times New Roman"/>
                <w:bCs/>
                <w:sz w:val="22"/>
                <w:szCs w:val="22"/>
              </w:rPr>
              <w:t>montate</w:t>
            </w:r>
            <w:proofErr w:type="spellEnd"/>
            <w:r w:rsidRPr="00A04CFD">
              <w:rPr>
                <w:rFonts w:eastAsia="Times New Roman"/>
                <w:bCs/>
                <w:sz w:val="22"/>
                <w:szCs w:val="22"/>
              </w:rPr>
              <w:t xml:space="preserve">, conform </w:t>
            </w:r>
            <w:proofErr w:type="spellStart"/>
            <w:r w:rsidRPr="00A04CFD">
              <w:rPr>
                <w:rFonts w:eastAsia="Times New Roman"/>
                <w:bCs/>
                <w:sz w:val="22"/>
                <w:szCs w:val="22"/>
              </w:rPr>
              <w:t>soluției</w:t>
            </w:r>
            <w:proofErr w:type="spellEnd"/>
            <w:r w:rsidRPr="00A04CFD">
              <w:rPr>
                <w:rFonts w:eastAsia="Times New Roman"/>
                <w:bCs/>
                <w:sz w:val="22"/>
                <w:szCs w:val="22"/>
              </w:rPr>
              <w:t xml:space="preserve"> </w:t>
            </w:r>
            <w:proofErr w:type="spellStart"/>
            <w:r w:rsidRPr="00A04CFD">
              <w:rPr>
                <w:rFonts w:eastAsia="Times New Roman"/>
                <w:bCs/>
                <w:sz w:val="22"/>
                <w:szCs w:val="22"/>
              </w:rPr>
              <w:t>tehnice</w:t>
            </w:r>
            <w:proofErr w:type="spellEnd"/>
            <w:r w:rsidRPr="00A04CFD">
              <w:rPr>
                <w:rFonts w:eastAsia="Times New Roman"/>
                <w:bCs/>
                <w:sz w:val="22"/>
                <w:szCs w:val="22"/>
              </w:rPr>
              <w:t xml:space="preserve"> </w:t>
            </w:r>
            <w:proofErr w:type="spellStart"/>
            <w:r w:rsidRPr="00A04CFD">
              <w:rPr>
                <w:rFonts w:eastAsia="Times New Roman"/>
                <w:bCs/>
                <w:sz w:val="22"/>
                <w:szCs w:val="22"/>
              </w:rPr>
              <w:t>prezentate</w:t>
            </w:r>
            <w:proofErr w:type="spellEnd"/>
            <w:r w:rsidRPr="00A04CFD">
              <w:rPr>
                <w:rFonts w:eastAsia="Times New Roman"/>
                <w:bCs/>
                <w:sz w:val="22"/>
                <w:szCs w:val="22"/>
              </w:rPr>
              <w:t xml:space="preserve"> in </w:t>
            </w:r>
            <w:proofErr w:type="spellStart"/>
            <w:r w:rsidRPr="00A04CFD">
              <w:rPr>
                <w:rFonts w:eastAsia="Times New Roman"/>
                <w:bCs/>
                <w:sz w:val="22"/>
                <w:szCs w:val="22"/>
              </w:rPr>
              <w:t>analiza</w:t>
            </w:r>
            <w:proofErr w:type="spellEnd"/>
            <w:r w:rsidRPr="00A04CFD">
              <w:rPr>
                <w:rFonts w:eastAsia="Times New Roman"/>
                <w:bCs/>
                <w:sz w:val="22"/>
                <w:szCs w:val="22"/>
              </w:rPr>
              <w:t xml:space="preserve"> </w:t>
            </w:r>
            <w:proofErr w:type="spellStart"/>
            <w:r w:rsidRPr="00A04CFD">
              <w:rPr>
                <w:rFonts w:eastAsia="Times New Roman"/>
                <w:bCs/>
                <w:sz w:val="22"/>
                <w:szCs w:val="22"/>
              </w:rPr>
              <w:t>energetică</w:t>
            </w:r>
            <w:proofErr w:type="spellEnd"/>
            <w:r w:rsidRPr="00A04CFD">
              <w:rPr>
                <w:rFonts w:eastAsia="Times New Roman"/>
                <w:bCs/>
                <w:sz w:val="22"/>
                <w:szCs w:val="22"/>
              </w:rPr>
              <w:t xml:space="preserve"> </w:t>
            </w:r>
            <w:proofErr w:type="spellStart"/>
            <w:r w:rsidRPr="00A04CFD">
              <w:rPr>
                <w:rFonts w:eastAsia="Times New Roman"/>
                <w:bCs/>
                <w:sz w:val="22"/>
                <w:szCs w:val="22"/>
              </w:rPr>
              <w:t>si</w:t>
            </w:r>
            <w:proofErr w:type="spellEnd"/>
            <w:r w:rsidRPr="00A04CFD">
              <w:rPr>
                <w:rFonts w:eastAsia="Times New Roman"/>
                <w:bCs/>
                <w:sz w:val="22"/>
                <w:szCs w:val="22"/>
              </w:rPr>
              <w:t xml:space="preserve"> </w:t>
            </w:r>
            <w:proofErr w:type="spellStart"/>
            <w:r w:rsidRPr="00A04CFD">
              <w:rPr>
                <w:rFonts w:eastAsia="Times New Roman"/>
                <w:bCs/>
                <w:sz w:val="22"/>
                <w:szCs w:val="22"/>
              </w:rPr>
              <w:t>Studiu</w:t>
            </w:r>
            <w:proofErr w:type="spellEnd"/>
            <w:r w:rsidRPr="00A04CFD">
              <w:rPr>
                <w:rFonts w:eastAsia="Times New Roman"/>
                <w:bCs/>
                <w:sz w:val="22"/>
                <w:szCs w:val="22"/>
              </w:rPr>
              <w:t xml:space="preserve"> de </w:t>
            </w:r>
            <w:proofErr w:type="spellStart"/>
            <w:r w:rsidRPr="00A04CFD">
              <w:rPr>
                <w:rFonts w:eastAsia="Times New Roman"/>
                <w:bCs/>
                <w:sz w:val="22"/>
                <w:szCs w:val="22"/>
              </w:rPr>
              <w:t>Fezabilitate</w:t>
            </w:r>
            <w:proofErr w:type="spellEnd"/>
            <w:r w:rsidRPr="00A04CFD">
              <w:rPr>
                <w:rFonts w:eastAsia="Times New Roman"/>
                <w:bCs/>
                <w:sz w:val="22"/>
                <w:szCs w:val="22"/>
              </w:rPr>
              <w:t xml:space="preserve">, pe </w:t>
            </w:r>
            <w:proofErr w:type="spellStart"/>
            <w:r w:rsidRPr="00A04CFD">
              <w:rPr>
                <w:rFonts w:eastAsia="Times New Roman"/>
                <w:bCs/>
                <w:sz w:val="22"/>
                <w:szCs w:val="22"/>
              </w:rPr>
              <w:t>clădire</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clădire</w:t>
            </w:r>
            <w:proofErr w:type="spellEnd"/>
            <w:r w:rsidRPr="00A04CFD">
              <w:rPr>
                <w:rFonts w:eastAsia="Times New Roman"/>
                <w:bCs/>
                <w:sz w:val="22"/>
                <w:szCs w:val="22"/>
              </w:rPr>
              <w:t xml:space="preserve"> </w:t>
            </w:r>
            <w:proofErr w:type="spellStart"/>
            <w:r w:rsidRPr="00A04CFD">
              <w:rPr>
                <w:rFonts w:eastAsia="Times New Roman"/>
                <w:bCs/>
                <w:sz w:val="22"/>
                <w:szCs w:val="22"/>
              </w:rPr>
              <w:t>sau</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apropierea</w:t>
            </w:r>
            <w:proofErr w:type="spellEnd"/>
            <w:r w:rsidRPr="00A04CFD">
              <w:rPr>
                <w:rFonts w:eastAsia="Times New Roman"/>
                <w:bCs/>
                <w:sz w:val="22"/>
                <w:szCs w:val="22"/>
              </w:rPr>
              <w:t xml:space="preserve"> </w:t>
            </w:r>
            <w:proofErr w:type="spellStart"/>
            <w:r w:rsidRPr="00A04CFD">
              <w:rPr>
                <w:rFonts w:eastAsia="Times New Roman"/>
                <w:bCs/>
                <w:sz w:val="22"/>
                <w:szCs w:val="22"/>
              </w:rPr>
              <w:t>acesteia</w:t>
            </w:r>
            <w:proofErr w:type="spellEnd"/>
            <w:r w:rsidRPr="00A04CFD">
              <w:rPr>
                <w:rFonts w:eastAsia="Times New Roman"/>
                <w:bCs/>
                <w:sz w:val="22"/>
                <w:szCs w:val="22"/>
              </w:rPr>
              <w:t xml:space="preserve">, cu </w:t>
            </w:r>
            <w:proofErr w:type="spellStart"/>
            <w:r w:rsidRPr="00A04CFD">
              <w:rPr>
                <w:rFonts w:eastAsia="Times New Roman"/>
                <w:bCs/>
                <w:sz w:val="22"/>
                <w:szCs w:val="22"/>
              </w:rPr>
              <w:t>condiția</w:t>
            </w:r>
            <w:proofErr w:type="spellEnd"/>
            <w:r w:rsidRPr="00A04CFD">
              <w:rPr>
                <w:rFonts w:eastAsia="Times New Roman"/>
                <w:bCs/>
                <w:sz w:val="22"/>
                <w:szCs w:val="22"/>
              </w:rPr>
              <w:t xml:space="preserve"> ca </w:t>
            </w:r>
            <w:proofErr w:type="spellStart"/>
            <w:r w:rsidRPr="00A04CFD">
              <w:rPr>
                <w:rFonts w:eastAsia="Times New Roman"/>
                <w:bCs/>
                <w:sz w:val="22"/>
                <w:szCs w:val="22"/>
              </w:rPr>
              <w:t>acestea</w:t>
            </w:r>
            <w:proofErr w:type="spellEnd"/>
            <w:r w:rsidRPr="00A04CFD">
              <w:rPr>
                <w:rFonts w:eastAsia="Times New Roman"/>
                <w:bCs/>
                <w:sz w:val="22"/>
                <w:szCs w:val="22"/>
              </w:rPr>
              <w:t xml:space="preserve"> </w:t>
            </w:r>
            <w:proofErr w:type="spellStart"/>
            <w:r w:rsidRPr="00A04CFD">
              <w:rPr>
                <w:rFonts w:eastAsia="Times New Roman"/>
                <w:bCs/>
                <w:sz w:val="22"/>
                <w:szCs w:val="22"/>
              </w:rPr>
              <w:t>să</w:t>
            </w:r>
            <w:proofErr w:type="spellEnd"/>
            <w:r w:rsidRPr="00A04CFD">
              <w:rPr>
                <w:rFonts w:eastAsia="Times New Roman"/>
                <w:bCs/>
                <w:sz w:val="22"/>
                <w:szCs w:val="22"/>
              </w:rPr>
              <w:t xml:space="preserve"> se </w:t>
            </w:r>
            <w:proofErr w:type="spellStart"/>
            <w:r w:rsidRPr="00A04CFD">
              <w:rPr>
                <w:rFonts w:eastAsia="Times New Roman"/>
                <w:bCs/>
                <w:sz w:val="22"/>
                <w:szCs w:val="22"/>
              </w:rPr>
              <w:t>afle</w:t>
            </w:r>
            <w:proofErr w:type="spellEnd"/>
            <w:r w:rsidRPr="00A04CFD">
              <w:rPr>
                <w:rFonts w:eastAsia="Times New Roman"/>
                <w:bCs/>
                <w:sz w:val="22"/>
                <w:szCs w:val="22"/>
              </w:rPr>
              <w:t xml:space="preserve"> pe </w:t>
            </w:r>
            <w:proofErr w:type="spellStart"/>
            <w:r w:rsidRPr="00A04CFD">
              <w:rPr>
                <w:rFonts w:eastAsia="Times New Roman"/>
                <w:bCs/>
                <w:sz w:val="22"/>
                <w:szCs w:val="22"/>
              </w:rPr>
              <w:t>imobilul</w:t>
            </w:r>
            <w:proofErr w:type="spellEnd"/>
            <w:r w:rsidRPr="00A04CFD">
              <w:rPr>
                <w:rFonts w:eastAsia="Times New Roman"/>
                <w:bCs/>
                <w:sz w:val="22"/>
                <w:szCs w:val="22"/>
              </w:rPr>
              <w:t xml:space="preserve"> (</w:t>
            </w:r>
            <w:proofErr w:type="spellStart"/>
            <w:r w:rsidRPr="00A04CFD">
              <w:rPr>
                <w:rFonts w:eastAsia="Times New Roman"/>
                <w:bCs/>
                <w:sz w:val="22"/>
                <w:szCs w:val="22"/>
              </w:rPr>
              <w:t>teren</w:t>
            </w:r>
            <w:proofErr w:type="spellEnd"/>
            <w:r w:rsidRPr="00A04CFD">
              <w:rPr>
                <w:rFonts w:eastAsia="Times New Roman"/>
                <w:bCs/>
                <w:sz w:val="22"/>
                <w:szCs w:val="22"/>
              </w:rPr>
              <w:t xml:space="preserve"> </w:t>
            </w:r>
            <w:proofErr w:type="spellStart"/>
            <w:r w:rsidRPr="00A04CFD">
              <w:rPr>
                <w:rFonts w:eastAsia="Times New Roman"/>
                <w:bCs/>
                <w:sz w:val="22"/>
                <w:szCs w:val="22"/>
              </w:rPr>
              <w:t>sau</w:t>
            </w:r>
            <w:proofErr w:type="spellEnd"/>
            <w:r w:rsidRPr="00A04CFD">
              <w:rPr>
                <w:rFonts w:eastAsia="Times New Roman"/>
                <w:bCs/>
                <w:sz w:val="22"/>
                <w:szCs w:val="22"/>
              </w:rPr>
              <w:t xml:space="preserve"> </w:t>
            </w:r>
            <w:proofErr w:type="spellStart"/>
            <w:r w:rsidRPr="00A04CFD">
              <w:rPr>
                <w:rFonts w:eastAsia="Times New Roman"/>
                <w:bCs/>
                <w:sz w:val="22"/>
                <w:szCs w:val="22"/>
              </w:rPr>
              <w:t>clădire</w:t>
            </w:r>
            <w:proofErr w:type="spellEnd"/>
            <w:r w:rsidRPr="00A04CFD">
              <w:rPr>
                <w:rFonts w:eastAsia="Times New Roman"/>
                <w:bCs/>
                <w:sz w:val="22"/>
                <w:szCs w:val="22"/>
              </w:rPr>
              <w:t xml:space="preserve">) </w:t>
            </w:r>
            <w:proofErr w:type="spellStart"/>
            <w:r w:rsidRPr="00A04CFD">
              <w:rPr>
                <w:rFonts w:eastAsia="Times New Roman"/>
                <w:bCs/>
                <w:sz w:val="22"/>
                <w:szCs w:val="22"/>
              </w:rPr>
              <w:t>aflat</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proprietatea</w:t>
            </w:r>
            <w:proofErr w:type="spellEnd"/>
            <w:r w:rsidRPr="00A04CFD">
              <w:rPr>
                <w:rFonts w:eastAsia="Times New Roman"/>
                <w:bCs/>
                <w:sz w:val="22"/>
                <w:szCs w:val="22"/>
              </w:rPr>
              <w:t>/</w:t>
            </w:r>
            <w:proofErr w:type="spellStart"/>
            <w:r w:rsidRPr="00A04CFD">
              <w:rPr>
                <w:rFonts w:eastAsia="Times New Roman"/>
                <w:bCs/>
                <w:sz w:val="22"/>
                <w:szCs w:val="22"/>
              </w:rPr>
              <w:t>administrarea</w:t>
            </w:r>
            <w:proofErr w:type="spellEnd"/>
            <w:r w:rsidRPr="00A04CFD">
              <w:rPr>
                <w:rFonts w:eastAsia="Times New Roman"/>
                <w:bCs/>
                <w:sz w:val="22"/>
                <w:szCs w:val="22"/>
              </w:rPr>
              <w:t>/</w:t>
            </w:r>
            <w:proofErr w:type="spellStart"/>
            <w:r w:rsidRPr="00A04CFD">
              <w:rPr>
                <w:rFonts w:eastAsia="Times New Roman"/>
                <w:bCs/>
                <w:sz w:val="22"/>
                <w:szCs w:val="22"/>
              </w:rPr>
              <w:t>concesiunea</w:t>
            </w:r>
            <w:proofErr w:type="spellEnd"/>
            <w:r w:rsidRPr="00A04CFD">
              <w:rPr>
                <w:rFonts w:eastAsia="Times New Roman"/>
                <w:bCs/>
                <w:sz w:val="22"/>
                <w:szCs w:val="22"/>
              </w:rPr>
              <w:t xml:space="preserve">  </w:t>
            </w:r>
            <w:proofErr w:type="spellStart"/>
            <w:r w:rsidRPr="00A04CFD">
              <w:rPr>
                <w:rFonts w:eastAsia="Times New Roman"/>
                <w:bCs/>
                <w:sz w:val="22"/>
                <w:szCs w:val="22"/>
              </w:rPr>
              <w:t>solicitanților</w:t>
            </w:r>
            <w:proofErr w:type="spellEnd"/>
            <w:r w:rsidRPr="00A04CFD">
              <w:rPr>
                <w:rFonts w:eastAsia="Times New Roman"/>
                <w:bCs/>
                <w:sz w:val="22"/>
                <w:szCs w:val="22"/>
              </w:rPr>
              <w:t xml:space="preserve"> </w:t>
            </w:r>
            <w:proofErr w:type="spellStart"/>
            <w:r w:rsidRPr="00A04CFD">
              <w:rPr>
                <w:rFonts w:eastAsia="Times New Roman"/>
                <w:bCs/>
                <w:sz w:val="22"/>
                <w:szCs w:val="22"/>
              </w:rPr>
              <w:t>eligibili</w:t>
            </w:r>
            <w:proofErr w:type="spellEnd"/>
            <w:r w:rsidRPr="00A04CFD">
              <w:rPr>
                <w:rFonts w:eastAsia="Times New Roman"/>
                <w:bCs/>
                <w:sz w:val="22"/>
                <w:szCs w:val="22"/>
              </w:rPr>
              <w:t xml:space="preserve">  </w:t>
            </w:r>
            <w:proofErr w:type="spellStart"/>
            <w:r w:rsidRPr="00A04CFD">
              <w:rPr>
                <w:rFonts w:eastAsia="Times New Roman"/>
                <w:bCs/>
                <w:sz w:val="22"/>
                <w:szCs w:val="22"/>
              </w:rPr>
              <w:t>menționați</w:t>
            </w:r>
            <w:proofErr w:type="spellEnd"/>
            <w:r w:rsidRPr="00A04CFD">
              <w:rPr>
                <w:rFonts w:eastAsia="Times New Roman"/>
                <w:bCs/>
                <w:sz w:val="22"/>
                <w:szCs w:val="22"/>
              </w:rPr>
              <w:t xml:space="preserve"> la </w:t>
            </w:r>
            <w:proofErr w:type="spellStart"/>
            <w:r w:rsidRPr="00A04CFD">
              <w:rPr>
                <w:rFonts w:eastAsia="Times New Roman"/>
                <w:bCs/>
                <w:sz w:val="22"/>
                <w:szCs w:val="22"/>
              </w:rPr>
              <w:t>secțiunea</w:t>
            </w:r>
            <w:proofErr w:type="spellEnd"/>
            <w:r w:rsidRPr="00A04CFD">
              <w:rPr>
                <w:rFonts w:eastAsia="Times New Roman"/>
                <w:bCs/>
                <w:sz w:val="22"/>
                <w:szCs w:val="22"/>
              </w:rPr>
              <w:t xml:space="preserve"> 5.1.2 </w:t>
            </w:r>
            <w:proofErr w:type="spellStart"/>
            <w:r w:rsidRPr="00A04CFD">
              <w:rPr>
                <w:rFonts w:eastAsia="Times New Roman"/>
                <w:bCs/>
                <w:sz w:val="22"/>
                <w:szCs w:val="22"/>
              </w:rPr>
              <w:t>și</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conformitate</w:t>
            </w:r>
            <w:proofErr w:type="spellEnd"/>
            <w:r w:rsidRPr="00A04CFD">
              <w:rPr>
                <w:rFonts w:eastAsia="Times New Roman"/>
                <w:bCs/>
                <w:sz w:val="22"/>
                <w:szCs w:val="22"/>
              </w:rPr>
              <w:t xml:space="preserve"> </w:t>
            </w:r>
            <w:proofErr w:type="spellStart"/>
            <w:r w:rsidRPr="00A04CFD">
              <w:rPr>
                <w:rFonts w:eastAsia="Times New Roman"/>
                <w:bCs/>
                <w:sz w:val="22"/>
                <w:szCs w:val="22"/>
              </w:rPr>
              <w:t>criteriile</w:t>
            </w:r>
            <w:proofErr w:type="spellEnd"/>
            <w:r w:rsidRPr="00A04CFD">
              <w:rPr>
                <w:rFonts w:eastAsia="Times New Roman"/>
                <w:bCs/>
                <w:sz w:val="22"/>
                <w:szCs w:val="22"/>
              </w:rPr>
              <w:t xml:space="preserve"> </w:t>
            </w:r>
            <w:proofErr w:type="spellStart"/>
            <w:r w:rsidRPr="00A04CFD">
              <w:rPr>
                <w:rFonts w:eastAsia="Times New Roman"/>
                <w:bCs/>
                <w:sz w:val="22"/>
                <w:szCs w:val="22"/>
              </w:rPr>
              <w:t>menționate</w:t>
            </w:r>
            <w:proofErr w:type="spellEnd"/>
            <w:r w:rsidRPr="00A04CFD">
              <w:rPr>
                <w:rFonts w:eastAsia="Times New Roman"/>
                <w:bCs/>
                <w:sz w:val="22"/>
                <w:szCs w:val="22"/>
              </w:rPr>
              <w:t xml:space="preserve"> </w:t>
            </w:r>
            <w:proofErr w:type="spellStart"/>
            <w:r w:rsidRPr="00A04CFD">
              <w:rPr>
                <w:rFonts w:eastAsia="Times New Roman"/>
                <w:bCs/>
                <w:sz w:val="22"/>
                <w:szCs w:val="22"/>
              </w:rPr>
              <w:t>în</w:t>
            </w:r>
            <w:proofErr w:type="spellEnd"/>
            <w:r w:rsidRPr="00A04CFD">
              <w:rPr>
                <w:rFonts w:eastAsia="Times New Roman"/>
                <w:bCs/>
                <w:sz w:val="22"/>
                <w:szCs w:val="22"/>
              </w:rPr>
              <w:t xml:space="preserve"> </w:t>
            </w:r>
            <w:proofErr w:type="spellStart"/>
            <w:r w:rsidRPr="00A04CFD">
              <w:rPr>
                <w:rFonts w:eastAsia="Times New Roman"/>
                <w:bCs/>
                <w:sz w:val="22"/>
                <w:szCs w:val="22"/>
              </w:rPr>
              <w:t>secțiunea</w:t>
            </w:r>
            <w:proofErr w:type="spellEnd"/>
            <w:r w:rsidRPr="00A04CFD">
              <w:rPr>
                <w:rFonts w:eastAsia="Times New Roman"/>
                <w:bCs/>
                <w:sz w:val="22"/>
                <w:szCs w:val="22"/>
              </w:rPr>
              <w:t xml:space="preserve"> 5.1.</w:t>
            </w:r>
          </w:p>
          <w:p w14:paraId="10992922" w14:textId="77777777" w:rsidR="00A657B7" w:rsidRDefault="00A657B7">
            <w:pPr>
              <w:widowControl w:val="0"/>
              <w:spacing w:before="0" w:after="0"/>
              <w:ind w:left="0"/>
              <w:contextualSpacing/>
              <w:jc w:val="left"/>
              <w:rPr>
                <w:bCs/>
                <w:sz w:val="22"/>
                <w:szCs w:val="22"/>
              </w:rPr>
            </w:pPr>
          </w:p>
        </w:tc>
      </w:tr>
    </w:tbl>
    <w:p w14:paraId="4A1186BE" w14:textId="77777777" w:rsidR="00A657B7" w:rsidRDefault="00A657B7"/>
    <w:p w14:paraId="1D6B1253" w14:textId="3E8A956F" w:rsidR="00A657B7" w:rsidRDefault="002F7C59" w:rsidP="002F7C59">
      <w:pPr>
        <w:pStyle w:val="Heading3"/>
        <w:numPr>
          <w:ilvl w:val="0"/>
          <w:numId w:val="0"/>
        </w:numPr>
      </w:pPr>
      <w:bookmarkStart w:id="138" w:name="_Toc213405572"/>
      <w:r>
        <w:lastRenderedPageBreak/>
        <w:t>5.2.3. Activitatea de bază</w:t>
      </w:r>
      <w:bookmarkEnd w:id="138"/>
    </w:p>
    <w:p w14:paraId="2FAAB1D3" w14:textId="77777777" w:rsidR="00A657B7" w:rsidRDefault="00245051">
      <w:pPr>
        <w:ind w:left="0"/>
        <w:rPr>
          <w:szCs w:val="24"/>
        </w:rPr>
      </w:pPr>
      <w:r>
        <w:rPr>
          <w:szCs w:val="24"/>
        </w:rPr>
        <w:t>În conformitate cu prevederile OUG nr. 23/12.04.2023, activitate de bază în cadrul unui proiect reprezintă activitatea sau pachetul de activități declarate de către beneficiar ca fiind principale sau de referință pentru un proiect, care se verifica de către autoritatea de management, în etapa de contractare, la momentul întocmirii planului de monitorizare a proiectului și care trebuie sa respecte următoarele condiții cumulative:</w:t>
      </w:r>
    </w:p>
    <w:p w14:paraId="4274C3EB" w14:textId="77777777" w:rsidR="00A657B7" w:rsidRDefault="00245051">
      <w:pPr>
        <w:spacing w:before="240"/>
        <w:ind w:left="0"/>
        <w:rPr>
          <w:szCs w:val="24"/>
          <w:lang w:val="en-US"/>
        </w:rPr>
      </w:pPr>
      <w:r>
        <w:rPr>
          <w:szCs w:val="24"/>
        </w:rPr>
        <w:t>(i) are legătură directă cu obiectul proiectului pentru care se acordă finanțarea şi contribuie în mod direct și semnificativ la realizarea obiectivelor și la obținerea rezultatelor acestuia</w:t>
      </w:r>
      <w:r>
        <w:rPr>
          <w:szCs w:val="24"/>
          <w:lang w:val="en-US"/>
        </w:rPr>
        <w:t>;</w:t>
      </w:r>
    </w:p>
    <w:p w14:paraId="148CE72A" w14:textId="77777777" w:rsidR="00A657B7" w:rsidRDefault="00245051">
      <w:pPr>
        <w:spacing w:before="240"/>
        <w:ind w:left="0"/>
        <w:rPr>
          <w:szCs w:val="24"/>
        </w:rPr>
      </w:pPr>
      <w:r>
        <w:rPr>
          <w:szCs w:val="24"/>
        </w:rPr>
        <w:t xml:space="preserve">(ii) se regăsește în cererea de finanțare sub forma activităților eligibile specificate în Ghidul solicitantului, </w:t>
      </w:r>
      <w:r>
        <w:rPr>
          <w:b/>
          <w:szCs w:val="24"/>
        </w:rPr>
        <w:t xml:space="preserve">secțiunea 5.2.2, punctul I, </w:t>
      </w:r>
      <w:r>
        <w:rPr>
          <w:szCs w:val="24"/>
        </w:rPr>
        <w:t>;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w:t>
      </w:r>
    </w:p>
    <w:p w14:paraId="7C8CF319" w14:textId="77777777" w:rsidR="00A657B7" w:rsidRDefault="00245051">
      <w:pPr>
        <w:spacing w:before="240"/>
        <w:ind w:left="0"/>
        <w:rPr>
          <w:szCs w:val="24"/>
        </w:rPr>
      </w:pPr>
      <w:r>
        <w:rPr>
          <w:szCs w:val="24"/>
        </w:rPr>
        <w:t xml:space="preserve">(iii) nu face parte din activitățile conexe, așa cum sunt acestea definite în Ghidul solicitantului, </w:t>
      </w:r>
      <w:r>
        <w:rPr>
          <w:b/>
          <w:szCs w:val="24"/>
        </w:rPr>
        <w:t>secțiunea 5.2.2, punctul  II</w:t>
      </w:r>
      <w:r>
        <w:rPr>
          <w:szCs w:val="24"/>
        </w:rPr>
        <w:t>; activitățile conexe reprezintă activitățile de proiectare și consultanță pentru elaborarea cererii de finanțare și managementului implementării proiectului, auditului financiar al proiectului, informării și publicității.</w:t>
      </w:r>
    </w:p>
    <w:p w14:paraId="4656F2CE" w14:textId="77777777" w:rsidR="00A657B7" w:rsidRDefault="00245051">
      <w:pPr>
        <w:spacing w:before="240"/>
        <w:ind w:left="0"/>
        <w:rPr>
          <w:szCs w:val="24"/>
        </w:rPr>
      </w:pPr>
      <w:r>
        <w:rPr>
          <w:szCs w:val="24"/>
        </w:rPr>
        <w:t>iv) bugetul estimat alocat activității sau pachetului de activități reprezintă minimum 50% din bugetul eligibil al proiectului;</w:t>
      </w:r>
    </w:p>
    <w:p w14:paraId="10AD91E5" w14:textId="6AF3CE65" w:rsidR="00A657B7" w:rsidRPr="00A04CFD" w:rsidRDefault="00A04CFD" w:rsidP="00A04CFD">
      <w:pPr>
        <w:ind w:left="0"/>
        <w:rPr>
          <w:color w:val="1C6194" w:themeColor="accent6" w:themeShade="BF"/>
          <w:szCs w:val="24"/>
        </w:rPr>
      </w:pPr>
      <w:r w:rsidRPr="00A04CFD">
        <w:rPr>
          <w:color w:val="1C6194" w:themeColor="accent6" w:themeShade="BF"/>
          <w:szCs w:val="24"/>
        </w:rPr>
        <w:t>Activitatea de bază reprezintă minim 85% din bugetul eligibil al proiectului.</w:t>
      </w:r>
    </w:p>
    <w:p w14:paraId="1E7963A3" w14:textId="77777777" w:rsidR="00A657B7" w:rsidRDefault="00A657B7"/>
    <w:p w14:paraId="31F02627" w14:textId="0C00CB2A" w:rsidR="00A657B7" w:rsidRDefault="002F7C59" w:rsidP="002F7C59">
      <w:pPr>
        <w:pStyle w:val="Heading3"/>
        <w:numPr>
          <w:ilvl w:val="0"/>
          <w:numId w:val="0"/>
        </w:numPr>
        <w:ind w:left="720"/>
      </w:pPr>
      <w:bookmarkStart w:id="139" w:name="_Toc213405573"/>
      <w:r>
        <w:t>5.2.4. Activități neeligibile</w:t>
      </w:r>
      <w:bookmarkEnd w:id="139"/>
    </w:p>
    <w:p w14:paraId="64F47A03" w14:textId="6E2215D4" w:rsidR="00A657B7" w:rsidRDefault="00245051">
      <w:pPr>
        <w:rPr>
          <w:b/>
          <w:bCs/>
        </w:rPr>
      </w:pPr>
      <w:r>
        <w:t xml:space="preserve">În cadrul acestor apeluri sunt neeligibile acele activități care prin natura lor nu contribuie la îndeplinirea Obiectivului Specific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 Componenta ” </w:t>
      </w:r>
      <w:r w:rsidR="00933789" w:rsidRPr="00933789">
        <w:t>Dezvoltarea surselor de energie regenerabilă  în perspectiva creării comunităților de energie</w:t>
      </w:r>
      <w:r>
        <w:t>”.</w:t>
      </w:r>
    </w:p>
    <w:p w14:paraId="77E67F24" w14:textId="2CAC54E9" w:rsidR="00BF6B67" w:rsidRDefault="00245051" w:rsidP="00933789">
      <w:r>
        <w:t>Nu sunt eligibile următoarele tipuri de activități:</w:t>
      </w:r>
    </w:p>
    <w:p w14:paraId="5502502D" w14:textId="0AE69A1A" w:rsidR="00BF6B67" w:rsidRPr="00BF6B67" w:rsidRDefault="00BF6B67">
      <w:pPr>
        <w:numPr>
          <w:ilvl w:val="0"/>
          <w:numId w:val="41"/>
        </w:numPr>
        <w:pBdr>
          <w:top w:val="nil"/>
          <w:left w:val="nil"/>
          <w:bottom w:val="nil"/>
          <w:right w:val="nil"/>
          <w:between w:val="nil"/>
        </w:pBdr>
        <w:spacing w:before="0" w:after="0"/>
      </w:pPr>
      <w:r w:rsidRPr="00BF6B67">
        <w:t>lucrările de construcții demarate și alte activități derulate anterior depunerii cererii de finanțare, cu excepția celor de consultanță pentru pregătirea documentației de proiect și proiectare</w:t>
      </w:r>
      <w:r w:rsidR="00933789">
        <w:t>,</w:t>
      </w:r>
    </w:p>
    <w:p w14:paraId="54CAB573" w14:textId="77777777" w:rsidR="00BF6B67" w:rsidRPr="00BF6B67" w:rsidRDefault="00BF6B67">
      <w:pPr>
        <w:numPr>
          <w:ilvl w:val="0"/>
          <w:numId w:val="41"/>
        </w:numPr>
        <w:pBdr>
          <w:top w:val="nil"/>
          <w:left w:val="nil"/>
          <w:bottom w:val="nil"/>
          <w:right w:val="nil"/>
          <w:between w:val="nil"/>
        </w:pBdr>
        <w:spacing w:before="0" w:after="0"/>
      </w:pPr>
      <w:r w:rsidRPr="00BF6B67">
        <w:t>activități încheiate în mod fizic sau implementate integral și în privința cărora toate plățile conexe au fost efectuate de către beneficiari, iar contribuția publică corespunzătoare a fost plătită beneficiarilor.</w:t>
      </w:r>
    </w:p>
    <w:p w14:paraId="7F9FD437" w14:textId="77777777" w:rsidR="00BF6B67" w:rsidRPr="00BF6B67" w:rsidRDefault="00BF6B67">
      <w:pPr>
        <w:numPr>
          <w:ilvl w:val="0"/>
          <w:numId w:val="41"/>
        </w:numPr>
        <w:pBdr>
          <w:top w:val="nil"/>
          <w:left w:val="nil"/>
          <w:bottom w:val="nil"/>
          <w:right w:val="nil"/>
          <w:between w:val="nil"/>
        </w:pBdr>
        <w:spacing w:before="0" w:after="0"/>
      </w:pPr>
      <w:r w:rsidRPr="00BF6B67">
        <w:t>activitățile prevăzute în Anexa nr. 1 a Hotărârii nr. 780/2006 privind stabilirea schemei de comercializare a certificatelor de emisii de gaze cu efect de seră, cu modificările și completările ulterioare.</w:t>
      </w:r>
    </w:p>
    <w:p w14:paraId="319D4136" w14:textId="77777777" w:rsidR="00BF6B67" w:rsidRPr="00BF6B67" w:rsidRDefault="00BF6B67">
      <w:pPr>
        <w:numPr>
          <w:ilvl w:val="0"/>
          <w:numId w:val="41"/>
        </w:numPr>
        <w:pBdr>
          <w:top w:val="nil"/>
          <w:left w:val="nil"/>
          <w:bottom w:val="nil"/>
          <w:right w:val="nil"/>
          <w:between w:val="nil"/>
        </w:pBdr>
        <w:spacing w:before="0" w:after="0"/>
      </w:pPr>
      <w:r w:rsidRPr="00BF6B67">
        <w:t>activitățile care favorizează domeniile excluse de prevederile Regulamentului (UE) 2021/1060, a Regulamentului (UE) 2021/1056 și a regulamentelor aplicabile în materia ajutorului de minimis, cu modificările și completările ulterioare precum și a analizei DNSH.</w:t>
      </w:r>
    </w:p>
    <w:p w14:paraId="38763276" w14:textId="00AA76E2" w:rsidR="00BF6B67" w:rsidRPr="00933789" w:rsidRDefault="00BF6B67">
      <w:pPr>
        <w:numPr>
          <w:ilvl w:val="0"/>
          <w:numId w:val="41"/>
        </w:numPr>
        <w:pBdr>
          <w:top w:val="nil"/>
          <w:left w:val="nil"/>
          <w:bottom w:val="nil"/>
          <w:right w:val="nil"/>
          <w:between w:val="nil"/>
        </w:pBdr>
        <w:spacing w:before="0" w:after="0"/>
        <w:rPr>
          <w:highlight w:val="yellow"/>
        </w:rPr>
      </w:pPr>
      <w:r w:rsidRPr="00C0006D">
        <w:t>alte</w:t>
      </w:r>
      <w:r w:rsidRPr="00BF6B67">
        <w:t xml:space="preserve"> activități ce decurg din prevederile prezentului ghid</w:t>
      </w:r>
      <w:r w:rsidR="00933789">
        <w:t>.</w:t>
      </w:r>
    </w:p>
    <w:p w14:paraId="31CB7131" w14:textId="77777777" w:rsidR="00A657B7" w:rsidRPr="00933789" w:rsidRDefault="00245051">
      <w:pPr>
        <w:numPr>
          <w:ilvl w:val="0"/>
          <w:numId w:val="41"/>
        </w:numPr>
        <w:pBdr>
          <w:top w:val="nil"/>
          <w:left w:val="nil"/>
          <w:bottom w:val="nil"/>
          <w:right w:val="nil"/>
          <w:between w:val="nil"/>
        </w:pBdr>
        <w:spacing w:before="0" w:after="0"/>
      </w:pPr>
      <w:r w:rsidRPr="00933789">
        <w:t>cele care au făcut sau ar fi trebuit să facă obiectul unei proceduri de recuperare în urma transferului unei activități de producție în afara zonei vizate de program</w:t>
      </w:r>
    </w:p>
    <w:p w14:paraId="64C23B6A" w14:textId="77777777" w:rsidR="00A657B7" w:rsidRPr="00933789" w:rsidRDefault="00245051">
      <w:pPr>
        <w:numPr>
          <w:ilvl w:val="0"/>
          <w:numId w:val="41"/>
        </w:numPr>
        <w:pBdr>
          <w:top w:val="nil"/>
          <w:left w:val="nil"/>
          <w:bottom w:val="nil"/>
          <w:right w:val="nil"/>
          <w:between w:val="nil"/>
        </w:pBdr>
        <w:spacing w:before="0" w:after="0"/>
      </w:pPr>
      <w:r w:rsidRPr="00933789">
        <w:t>cele prevăzute în anexa nr. 1 a Hotărârii Guvernului nr. 780/2006 privind stabilirea schemei de comercializare a certificatelor de emisii de gaze cu efect de seră, cu modificările și completările ulterioare</w:t>
      </w:r>
    </w:p>
    <w:p w14:paraId="0A6E50D1" w14:textId="77777777" w:rsidR="00A657B7" w:rsidRPr="00933789" w:rsidRDefault="00245051">
      <w:pPr>
        <w:numPr>
          <w:ilvl w:val="0"/>
          <w:numId w:val="41"/>
        </w:numPr>
        <w:pBdr>
          <w:top w:val="nil"/>
          <w:left w:val="nil"/>
          <w:bottom w:val="nil"/>
          <w:right w:val="nil"/>
          <w:between w:val="nil"/>
        </w:pBdr>
        <w:spacing w:before="0" w:after="0"/>
      </w:pPr>
      <w:r w:rsidRPr="00933789">
        <w:t>care favorizează domeniile excluse de prevederile Regulamentului (UE) nr. 1060/2021, a Regulamentului (UE) nr. 1056/2021 , precum și a analizei DNSH</w:t>
      </w:r>
    </w:p>
    <w:p w14:paraId="451F0657" w14:textId="77777777" w:rsidR="00A657B7" w:rsidRPr="00933789" w:rsidRDefault="00245051">
      <w:pPr>
        <w:numPr>
          <w:ilvl w:val="0"/>
          <w:numId w:val="41"/>
        </w:numPr>
        <w:pBdr>
          <w:top w:val="nil"/>
          <w:left w:val="nil"/>
          <w:bottom w:val="nil"/>
          <w:right w:val="nil"/>
          <w:between w:val="nil"/>
        </w:pBdr>
        <w:spacing w:before="0" w:after="0"/>
      </w:pPr>
      <w:r w:rsidRPr="00933789">
        <w:t>Activități ce vizează investiții asupra clădirilor încadrate în clasele de risc seismic I sau II.</w:t>
      </w:r>
    </w:p>
    <w:p w14:paraId="52431C15" w14:textId="77777777" w:rsidR="00A657B7" w:rsidRPr="00933789" w:rsidRDefault="00245051">
      <w:pPr>
        <w:numPr>
          <w:ilvl w:val="0"/>
          <w:numId w:val="41"/>
        </w:numPr>
        <w:pBdr>
          <w:top w:val="nil"/>
          <w:left w:val="nil"/>
          <w:bottom w:val="nil"/>
          <w:right w:val="nil"/>
          <w:between w:val="nil"/>
        </w:pBdr>
        <w:spacing w:before="0" w:after="0"/>
      </w:pPr>
      <w:r w:rsidRPr="00933789">
        <w:lastRenderedPageBreak/>
        <w:t>Activități  care intră sub incidența ajutorului de stat  (inclusiv ca parte a proiectului).</w:t>
      </w:r>
    </w:p>
    <w:p w14:paraId="739941B8" w14:textId="77777777" w:rsidR="00A657B7" w:rsidRPr="00933789" w:rsidRDefault="00245051">
      <w:pPr>
        <w:numPr>
          <w:ilvl w:val="0"/>
          <w:numId w:val="41"/>
        </w:numPr>
        <w:pBdr>
          <w:top w:val="nil"/>
          <w:left w:val="nil"/>
          <w:bottom w:val="nil"/>
          <w:right w:val="nil"/>
          <w:between w:val="nil"/>
        </w:pBdr>
        <w:spacing w:before="0" w:after="0"/>
      </w:pPr>
      <w:r w:rsidRPr="00933789">
        <w:t>Proiectele care propun intervenții asupra componentelor care constau în înlocuirea sistemelor de încălzire cu ardere pe bază de combustibili fosili solizi sau biomasă cu altele de acelasi tip</w:t>
      </w:r>
    </w:p>
    <w:p w14:paraId="597B25DB" w14:textId="77777777" w:rsidR="00A657B7" w:rsidRPr="00933789" w:rsidRDefault="00245051">
      <w:pPr>
        <w:numPr>
          <w:ilvl w:val="0"/>
          <w:numId w:val="41"/>
        </w:numPr>
        <w:pBdr>
          <w:top w:val="nil"/>
          <w:left w:val="nil"/>
          <w:bottom w:val="nil"/>
          <w:right w:val="nil"/>
          <w:between w:val="nil"/>
        </w:pBdr>
        <w:spacing w:before="0" w:after="0"/>
      </w:pPr>
      <w:r w:rsidRPr="00933789">
        <w:t xml:space="preserve">Nu sunt eligibile investițiile care utilizează biomasa. Nu se admit ca surse combustibilii fosili. </w:t>
      </w:r>
    </w:p>
    <w:p w14:paraId="2ABE5A27" w14:textId="77777777" w:rsidR="00A657B7" w:rsidRPr="00933789" w:rsidRDefault="00245051">
      <w:pPr>
        <w:numPr>
          <w:ilvl w:val="0"/>
          <w:numId w:val="41"/>
        </w:numPr>
        <w:pBdr>
          <w:top w:val="nil"/>
          <w:left w:val="nil"/>
          <w:bottom w:val="nil"/>
          <w:right w:val="nil"/>
          <w:between w:val="nil"/>
        </w:pBdr>
        <w:spacing w:before="0" w:after="0"/>
      </w:pPr>
      <w:r w:rsidRPr="00933789">
        <w:t>Nu sunt eligibile investițiile  privind realizarea rețelelor de distribuție a energiei obținute în cogenerare, trigenerare, indiferent de natura acesteia (cu excepția celor prevăzute în prezentul ghid), inclusiv cheltuielile de preluare a energiei în sistemul energetic național</w:t>
      </w:r>
    </w:p>
    <w:p w14:paraId="63954283" w14:textId="4A5E94D7" w:rsidR="00A657B7" w:rsidRPr="00933789" w:rsidRDefault="00245051">
      <w:pPr>
        <w:numPr>
          <w:ilvl w:val="0"/>
          <w:numId w:val="41"/>
        </w:numPr>
        <w:pBdr>
          <w:top w:val="nil"/>
          <w:left w:val="nil"/>
          <w:bottom w:val="nil"/>
          <w:right w:val="nil"/>
          <w:between w:val="nil"/>
        </w:pBdr>
        <w:spacing w:before="0" w:after="0"/>
      </w:pPr>
      <w:r w:rsidRPr="00933789">
        <w:t>alte activități ce decurg din prevederile prezentului ghid ca fiind ne-eligibile</w:t>
      </w:r>
      <w:r w:rsidR="00933789">
        <w:t>.</w:t>
      </w:r>
    </w:p>
    <w:p w14:paraId="70258C34" w14:textId="77777777" w:rsidR="00A657B7" w:rsidRDefault="00A657B7"/>
    <w:p w14:paraId="6B80A751" w14:textId="088DEAF5" w:rsidR="00A657B7" w:rsidRDefault="00122841" w:rsidP="003C7E88">
      <w:pPr>
        <w:pStyle w:val="Heading2"/>
        <w:numPr>
          <w:ilvl w:val="1"/>
          <w:numId w:val="3"/>
        </w:numPr>
      </w:pPr>
      <w:bookmarkStart w:id="140" w:name="_heading=h.65z6z0o527or"/>
      <w:bookmarkStart w:id="141" w:name="_heading=h.jjcjwmncmrqe"/>
      <w:bookmarkStart w:id="142" w:name="_Toc213405574"/>
      <w:bookmarkEnd w:id="140"/>
      <w:bookmarkEnd w:id="141"/>
      <w:r w:rsidRPr="003C7E88">
        <w:t>Eligibilitatea cheltuielilor</w:t>
      </w:r>
      <w:bookmarkEnd w:id="142"/>
    </w:p>
    <w:p w14:paraId="71EC4101" w14:textId="77777777" w:rsidR="00BF6B67" w:rsidRDefault="00BF6B67" w:rsidP="00BF6B67"/>
    <w:p w14:paraId="1D01F3C4" w14:textId="77F5CBAC" w:rsidR="00BF6B67" w:rsidRPr="008D524F" w:rsidRDefault="000A36C8" w:rsidP="000A36C8">
      <w:pPr>
        <w:keepNext/>
        <w:keepLines/>
        <w:pBdr>
          <w:top w:val="none" w:sz="0" w:space="0" w:color="auto"/>
          <w:left w:val="none" w:sz="0" w:space="0" w:color="auto"/>
          <w:bottom w:val="none" w:sz="0" w:space="0" w:color="auto"/>
          <w:right w:val="none" w:sz="0" w:space="0" w:color="auto"/>
          <w:between w:val="none" w:sz="0" w:space="0" w:color="auto"/>
        </w:pBdr>
        <w:spacing w:after="0"/>
        <w:ind w:left="0"/>
        <w:outlineLvl w:val="2"/>
        <w:rPr>
          <w:rFonts w:ascii="Calibri Light" w:eastAsia="Times New Roman" w:hAnsi="Calibri Light" w:cs="Times New Roman"/>
          <w:bCs/>
          <w:color w:val="3494BA"/>
          <w:sz w:val="24"/>
          <w:szCs w:val="24"/>
        </w:rPr>
      </w:pPr>
      <w:bookmarkStart w:id="143" w:name="_Toc213405575"/>
      <w:r w:rsidRPr="008D524F">
        <w:rPr>
          <w:rFonts w:ascii="Calibri Light" w:eastAsia="Times New Roman" w:hAnsi="Calibri Light" w:cs="Times New Roman"/>
          <w:bCs/>
          <w:color w:val="3494BA"/>
          <w:sz w:val="24"/>
          <w:szCs w:val="24"/>
        </w:rPr>
        <w:t xml:space="preserve">5.3.1. </w:t>
      </w:r>
      <w:r w:rsidR="00BF6B67" w:rsidRPr="008D524F">
        <w:rPr>
          <w:rFonts w:ascii="Calibri Light" w:eastAsia="Times New Roman" w:hAnsi="Calibri Light" w:cs="Times New Roman"/>
          <w:bCs/>
          <w:color w:val="3494BA"/>
          <w:sz w:val="24"/>
          <w:szCs w:val="24"/>
        </w:rPr>
        <w:t>Baza legală pentru stabilirea eligibilității cheltuielilor</w:t>
      </w:r>
      <w:bookmarkEnd w:id="143"/>
    </w:p>
    <w:p w14:paraId="6EF16B5C"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Regulamentul (UE, EURATOM) nr. 2020/2093 al Consiliului din 17 decembrie 2020 de stabilire a cadrului financiar multianual pentru perioada 2021 – 2027</w:t>
      </w:r>
    </w:p>
    <w:p w14:paraId="3EB09B5D"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709" w:hanging="283"/>
        <w:rPr>
          <w:lang w:val="pt-PT"/>
        </w:rPr>
      </w:pPr>
      <w:r w:rsidRPr="00BF6B67">
        <w:t>Regulamentul (UE, Euratom) 2024/2509 al Parlamentului European și al Consiliului din 23 septembrie 2024 privind normele financiare aplicabile bugetului general al Uniunii (reformare)</w:t>
      </w:r>
      <w:r w:rsidRPr="00BF6B67">
        <w:rPr>
          <w:lang w:val="pt-PT"/>
        </w:rPr>
        <w:t>;</w:t>
      </w:r>
    </w:p>
    <w:p w14:paraId="18450AD7"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BBD9B98"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contextualSpacing/>
        <w:rPr>
          <w:lang w:val="pt-PT"/>
        </w:rPr>
      </w:pPr>
      <w:r w:rsidRPr="00BF6B67">
        <w:rPr>
          <w:lang w:val="pt-PT"/>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6E69E"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pPr>
      <w:r w:rsidRPr="00BF6B67">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37CA116B" w14:textId="77777777" w:rsidR="00BF6B67" w:rsidRPr="00BF6B67" w:rsidRDefault="00BF6B67">
      <w:pPr>
        <w:numPr>
          <w:ilvl w:val="0"/>
          <w:numId w:val="42"/>
        </w:numPr>
        <w:pBdr>
          <w:top w:val="none" w:sz="0" w:space="0" w:color="auto"/>
          <w:left w:val="none" w:sz="0" w:space="0" w:color="auto"/>
          <w:bottom w:val="none" w:sz="0" w:space="0" w:color="auto"/>
          <w:right w:val="none" w:sz="0" w:space="0" w:color="auto"/>
          <w:between w:val="none" w:sz="0" w:space="0" w:color="auto"/>
        </w:pBdr>
        <w:spacing w:after="0"/>
        <w:ind w:left="0" w:firstLine="450"/>
      </w:pPr>
      <w:r w:rsidRPr="00BF6B67">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FFC4B26" w14:textId="77777777" w:rsidR="00BF6B67" w:rsidRDefault="00BF6B67" w:rsidP="00882FDF">
      <w:pPr>
        <w:ind w:left="0"/>
      </w:pPr>
    </w:p>
    <w:p w14:paraId="3F7051C2"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rPr>
          <w:rFonts w:ascii="Calibri Light" w:eastAsia="Times New Roman" w:hAnsi="Calibri Light" w:cs="Times New Roman"/>
          <w:b/>
          <w:color w:val="3494BA"/>
          <w:sz w:val="24"/>
          <w:szCs w:val="24"/>
        </w:rPr>
      </w:pPr>
      <w:r w:rsidRPr="00BF6B67">
        <w:rPr>
          <w:rFonts w:ascii="Calibri Light" w:eastAsia="Times New Roman" w:hAnsi="Calibri Light" w:cs="Times New Roman"/>
          <w:b/>
          <w:color w:val="3494BA"/>
          <w:sz w:val="24"/>
          <w:szCs w:val="24"/>
        </w:rPr>
        <w:t>Condiții de eligibilitate a cheltuielilor</w:t>
      </w:r>
    </w:p>
    <w:p w14:paraId="52FD54AB"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rPr>
          <w:rFonts w:ascii="Calibri Light" w:eastAsia="Times New Roman" w:hAnsi="Calibri Light" w:cs="Times New Roman"/>
          <w:b/>
          <w:color w:val="3494BA"/>
          <w:sz w:val="24"/>
          <w:szCs w:val="24"/>
        </w:rPr>
      </w:pPr>
    </w:p>
    <w:p w14:paraId="5BA6121D"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Cheltuielile sunt eligibile pentru o contribuție din fonduri dacă au fost suportate de beneficiar și plătite în cadrul implementării proiectului, de la depunerea Cererii de finanțare  și până la 31 decembrie 2029.</w:t>
      </w:r>
    </w:p>
    <w:p w14:paraId="0D11D541"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rPr>
          <w:bCs/>
        </w:rPr>
        <w:t>Solicitantul</w:t>
      </w:r>
      <w:r w:rsidRPr="00BF6B67" w:rsidDel="00404B46">
        <w:t xml:space="preserve"> </w:t>
      </w:r>
      <w:r w:rsidRPr="00BF6B67">
        <w:t>trebuie să aibă în vedere faptul că eligibilitatea unei activităţi nu este echivalentă cu eligibilitatea cheltuielilor efectuate pentru realizarea acelei activităţi.</w:t>
      </w:r>
    </w:p>
    <w:p w14:paraId="002ED59D"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Având în vedere complementaritatea cu alte programe de finanţare, se va avea în vedere evitarea dublei finanţări.</w:t>
      </w:r>
    </w:p>
    <w:p w14:paraId="1FC5A7F4"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rPr>
          <w:rFonts w:ascii="Calibri Light" w:eastAsia="Times New Roman" w:hAnsi="Calibri Light" w:cs="Times New Roman"/>
          <w:b/>
          <w:color w:val="3494BA"/>
          <w:sz w:val="24"/>
          <w:szCs w:val="24"/>
        </w:rPr>
      </w:pPr>
    </w:p>
    <w:p w14:paraId="7CC8ECCB"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b/>
          <w:bCs/>
          <w:iCs/>
        </w:rPr>
      </w:pPr>
      <w:r w:rsidRPr="00BF6B67">
        <w:rPr>
          <w:rFonts w:eastAsia="Times New Roman"/>
          <w:b/>
          <w:bCs/>
          <w:iCs/>
        </w:rPr>
        <w:t>Pentru a fi eligibilă, o cheltuială trebuie să îndeplinească cumulativ următoarele condiții cu caracter general:</w:t>
      </w:r>
    </w:p>
    <w:p w14:paraId="433115F7"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lastRenderedPageBreak/>
        <w:t>să respecte prevederile art. 63 și, după caz, ale art. 20 alin. (1) lit. b) și c) din Regulamentul (UE) 2021/1060, cu modificările și completările ulterioare;</w:t>
      </w:r>
    </w:p>
    <w:p w14:paraId="4D248610"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însoțită de facturi emise în conformitate cu prevederile </w:t>
      </w:r>
      <w:r>
        <w:fldChar w:fldCharType="begin"/>
      </w:r>
      <w:r>
        <w:instrText>HYPERLINK "https://legislatie.just.ro/Public/DetaliiDocumentAfis/256327"</w:instrText>
      </w:r>
      <w:r>
        <w:fldChar w:fldCharType="separate"/>
      </w:r>
      <w:r w:rsidRPr="00BF6B67">
        <w:rPr>
          <w:rFonts w:eastAsia="Times New Roman"/>
          <w:iCs/>
        </w:rPr>
        <w:t>Legii nr. 227/2015 privind Codul fiscal</w:t>
      </w:r>
      <w:r>
        <w:fldChar w:fldCharType="end"/>
      </w:r>
      <w:r w:rsidRPr="00BF6B67">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0D37EBC8"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355D1493"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 conformitate cu prevederile programului;</w:t>
      </w:r>
    </w:p>
    <w:p w14:paraId="4EEB18BA"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în conformitate cu prevederile contractului /deciziei de finanțare;</w:t>
      </w:r>
    </w:p>
    <w:p w14:paraId="2C2082CB"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fie rezonabilă și necesară realizării operațiunii;</w:t>
      </w:r>
    </w:p>
    <w:p w14:paraId="76467CCF"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să respecte prevederile legislației Uniunii Europene și legislației naționale aplicabile;</w:t>
      </w:r>
    </w:p>
    <w:p w14:paraId="092F13F4" w14:textId="77777777" w:rsidR="00BF6B67" w:rsidRPr="00BF6B67" w:rsidRDefault="00BF6B67">
      <w:pPr>
        <w:numPr>
          <w:ilvl w:val="0"/>
          <w:numId w:val="43"/>
        </w:num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r w:rsidRPr="00BF6B67">
        <w:rPr>
          <w:rFonts w:eastAsia="Times New Roman"/>
          <w:iCs/>
        </w:rPr>
        <w:t> să fie înregistrată în contabilitatea beneficiarului, cu respectarea prevederilor art. 74 alin. (1) lit. a) pct. (i) din Regulamentul (UE) 2021/1060, cu excepția formelor de sprijin prevăzute la art. 5.(2) din din HG nr. 873/2022.</w:t>
      </w:r>
    </w:p>
    <w:p w14:paraId="6E1D29C4"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before="0" w:after="0" w:line="259" w:lineRule="auto"/>
        <w:jc w:val="left"/>
        <w:rPr>
          <w:rFonts w:eastAsia="Times New Roman"/>
          <w:iCs/>
        </w:rPr>
      </w:pPr>
    </w:p>
    <w:p w14:paraId="6FD831E5"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before="0" w:after="0" w:line="259" w:lineRule="auto"/>
        <w:ind w:left="0"/>
        <w:jc w:val="left"/>
        <w:rPr>
          <w:rFonts w:eastAsia="Times New Roman"/>
          <w:iCs/>
        </w:rPr>
      </w:pPr>
    </w:p>
    <w:p w14:paraId="1918ADC4" w14:textId="77777777" w:rsidR="00A657B7" w:rsidRDefault="00A657B7">
      <w:pPr>
        <w:pStyle w:val="ListParagraph"/>
        <w:spacing w:before="0" w:after="0"/>
        <w:contextualSpacing w:val="0"/>
        <w:rPr>
          <w:rFonts w:eastAsia="Times New Roman"/>
          <w:iCs/>
        </w:rPr>
      </w:pPr>
    </w:p>
    <w:p w14:paraId="7B6E9243" w14:textId="77777777" w:rsidR="00A657B7" w:rsidRDefault="00A657B7">
      <w:pPr>
        <w:spacing w:before="0"/>
        <w:ind w:left="0"/>
      </w:pPr>
    </w:p>
    <w:p w14:paraId="5BEE021C" w14:textId="2F3D86C5" w:rsidR="00A657B7" w:rsidRDefault="002F7C59" w:rsidP="002F7C59">
      <w:pPr>
        <w:pStyle w:val="Heading3"/>
        <w:numPr>
          <w:ilvl w:val="0"/>
          <w:numId w:val="0"/>
        </w:numPr>
      </w:pPr>
      <w:bookmarkStart w:id="144" w:name="_Toc213405576"/>
      <w:r>
        <w:t>5.3.2. Categorii și plafoane de cheltuieli eligibile</w:t>
      </w:r>
      <w:bookmarkEnd w:id="144"/>
    </w:p>
    <w:p w14:paraId="1D39A2E8" w14:textId="77777777" w:rsidR="00BF6B67" w:rsidRPr="005100D3" w:rsidRDefault="00BF6B67" w:rsidP="00BF6B67">
      <w:pPr>
        <w:autoSpaceDE w:val="0"/>
        <w:autoSpaceDN w:val="0"/>
        <w:adjustRightInd w:val="0"/>
        <w:spacing w:after="0"/>
        <w:ind w:left="0"/>
        <w:jc w:val="left"/>
        <w:rPr>
          <w:rFonts w:eastAsia="Times New Roman"/>
          <w:b/>
          <w:bCs/>
          <w:i/>
        </w:rPr>
      </w:pPr>
      <w:r>
        <w:rPr>
          <w:rFonts w:eastAsia="Times New Roman"/>
          <w:b/>
          <w:bCs/>
          <w:i/>
        </w:rPr>
        <w:t xml:space="preserve">1. </w:t>
      </w:r>
      <w:r w:rsidRPr="005100D3">
        <w:rPr>
          <w:rFonts w:eastAsia="Times New Roman"/>
          <w:b/>
          <w:bCs/>
          <w:i/>
        </w:rPr>
        <w:t xml:space="preserve">Costuri directe (Co dir) reprezintă acele cheltuieli eligibile care sunt direct legate de punerea în aplicare a proiectului şi pentru care poate fi demonstrată legătura directă cu respectivul proiect și includ: </w:t>
      </w:r>
    </w:p>
    <w:p w14:paraId="41F33891" w14:textId="77777777" w:rsidR="00BF6B67" w:rsidRDefault="00BF6B67">
      <w:pPr>
        <w:widowControl w:val="0"/>
        <w:tabs>
          <w:tab w:val="left" w:pos="1849"/>
        </w:tabs>
        <w:spacing w:after="0"/>
        <w:ind w:left="0"/>
        <w:rPr>
          <w:lang w:eastAsia="ro-RO"/>
        </w:rPr>
      </w:pPr>
    </w:p>
    <w:p w14:paraId="2D3F72DC"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r w:rsidRPr="00047BDB">
        <w:rPr>
          <w:rFonts w:eastAsia="Times New Roman"/>
          <w:iCs/>
        </w:rPr>
        <w:t>1.1</w:t>
      </w:r>
      <w:bookmarkStart w:id="145" w:name="_Hlk150352010"/>
      <w:r w:rsidRPr="00047BDB">
        <w:rPr>
          <w:rFonts w:eastAsia="Times New Roman"/>
          <w:iCs/>
        </w:rPr>
        <w:t xml:space="preserve"> Cheltuieli cu echipamente tehnologice, utilaje, instalații de lucru, mobilier, echipamente informatice de natura mijloacelor fixe.</w:t>
      </w:r>
      <w:bookmarkEnd w:id="145"/>
    </w:p>
    <w:p w14:paraId="76263145"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p>
    <w:p w14:paraId="323D0B9E"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r w:rsidRPr="00047BDB">
        <w:rPr>
          <w:rFonts w:eastAsia="Times New Roman"/>
          <w:iCs/>
        </w:rPr>
        <w:t xml:space="preserve">1.2 </w:t>
      </w:r>
      <w:bookmarkStart w:id="146" w:name="_Hlk150352022"/>
      <w:r w:rsidRPr="00047BDB">
        <w:rPr>
          <w:rFonts w:eastAsia="Times New Roman"/>
          <w:iCs/>
        </w:rPr>
        <w:t>Cheltuieli cu instalații/echipamente specifice care contribuie în mod substanțial la obiectivele de mediu.</w:t>
      </w:r>
      <w:bookmarkEnd w:id="146"/>
    </w:p>
    <w:p w14:paraId="6AF3876F"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p>
    <w:p w14:paraId="1B9FA1C4"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r w:rsidRPr="00047BDB">
        <w:rPr>
          <w:rFonts w:eastAsia="Times New Roman"/>
          <w:iCs/>
        </w:rPr>
        <w:t xml:space="preserve">1.3 </w:t>
      </w:r>
      <w:bookmarkStart w:id="147" w:name="_Hlk163031272"/>
      <w:bookmarkStart w:id="148" w:name="_Hlk150352032"/>
      <w:r w:rsidRPr="00047BDB">
        <w:rPr>
          <w:rFonts w:eastAsia="Times New Roman"/>
          <w:iCs/>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147"/>
      <w:r w:rsidRPr="00047BDB">
        <w:rPr>
          <w:rFonts w:eastAsia="Times New Roman"/>
          <w:iCs/>
        </w:rPr>
        <w:t>.</w:t>
      </w:r>
    </w:p>
    <w:bookmarkEnd w:id="148"/>
    <w:p w14:paraId="560D9A2B"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p>
    <w:p w14:paraId="62E045C6" w14:textId="77777777" w:rsidR="00047BDB" w:rsidRPr="00047BDB" w:rsidRDefault="00047BDB" w:rsidP="00047BDB">
      <w:pPr>
        <w:pBdr>
          <w:top w:val="none" w:sz="0" w:space="0" w:color="auto"/>
          <w:left w:val="none" w:sz="0" w:space="0" w:color="auto"/>
          <w:bottom w:val="none" w:sz="0" w:space="0" w:color="auto"/>
          <w:right w:val="none" w:sz="0" w:space="0" w:color="auto"/>
          <w:between w:val="none" w:sz="0" w:space="0" w:color="auto"/>
        </w:pBdr>
        <w:spacing w:before="0" w:after="0"/>
        <w:ind w:left="0"/>
        <w:rPr>
          <w:rFonts w:eastAsia="Times New Roman"/>
          <w:iCs/>
        </w:rPr>
      </w:pPr>
      <w:r w:rsidRPr="00047BDB">
        <w:rPr>
          <w:rFonts w:eastAsia="Times New Roman"/>
          <w:iCs/>
        </w:rPr>
        <w:t xml:space="preserve">1.4 </w:t>
      </w:r>
      <w:bookmarkStart w:id="149" w:name="_Hlk150352060"/>
      <w:r w:rsidRPr="00047BDB">
        <w:rPr>
          <w:rFonts w:eastAsia="Times New Roman"/>
          <w:iCs/>
        </w:rPr>
        <w:t>Cheltuielile cu lucrări:</w:t>
      </w:r>
    </w:p>
    <w:p w14:paraId="50E1BB2F"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Cheltuieli pentru amenajarea terenului - se includ cheltuielile efectuate pentru pregătirea amplasamentului în conformitate cu HG nr. 907/2016, cu modificările și completările ulterioare.</w:t>
      </w:r>
    </w:p>
    <w:p w14:paraId="7ED6D662"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Cheltuieli pentru amenajări pentru protecţia mediului şi aducerea terenului la starea iniţială - se includ cheltuielile efectuate pentru lucrări şi acţiuni de protecţia mediului, inclusiv pentru refacerea cadrului natural după terminarea lucrărilor, în conformitate cu HG nr. 907/2016, cu modificările și completările ulterioare.</w:t>
      </w:r>
    </w:p>
    <w:p w14:paraId="12EB656A"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Cheltuieli pentru asigurarea utilităţilor necesare obiectivului de investiții - se includ cheltuielile aferente asigurării cu utilităţile necesare funcţionării obiectivului de investiţie, în conformitate cu HG nr. 907/2016, cu modificările și completările ulterioare.</w:t>
      </w:r>
    </w:p>
    <w:p w14:paraId="6B9E5811"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Construcţii şi instalaţii - se includ cheltuieli aferente activităților de construire/modernizare/extindere a spaţiilor de producţie/prestare de servicii ale întreprinderii, respectiv cheltuielile aferente execuţiei tuturor obiectelor cuprinse în obiectivul de investiţie (conform HG nr. 907/2016, cu modificările și completările ulterioare).</w:t>
      </w:r>
    </w:p>
    <w:p w14:paraId="34A565BC"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contextualSpacing/>
        <w:rPr>
          <w:rFonts w:eastAsia="Times New Roman"/>
          <w:iCs/>
        </w:rPr>
      </w:pPr>
      <w:r w:rsidRPr="00047BDB">
        <w:rPr>
          <w:rFonts w:eastAsia="Times New Roman"/>
          <w:iCs/>
        </w:rPr>
        <w:lastRenderedPageBreak/>
        <w:t>Cheltuieli pentru utilaje, echipamente tehnologice și funcționale cu și fără montaj (conform HG nr. 907/2016, cu modificările și completările ulterioare).</w:t>
      </w:r>
    </w:p>
    <w:p w14:paraId="483CA3F4"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Montaj utilaje, echipamente tehnologice și funcționale –  cuprind cheltuielile aferente montajului utilajelor tehnologice și al utilajelor incluse în instalațiile funcționale, inclusiv rețelele aferente necesare funcționării acestuia (conform HG nr. 907/2016, cu modificările și completările ulterioare). </w:t>
      </w:r>
    </w:p>
    <w:p w14:paraId="596AAC7E"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Cheltuieli cu organizarea de șantier - sunt eligibile în limita a 2,5% din valoarea investiției de bază (cap. 4.1, 4.2, 4.3, 4.4 din devizul general conform HG nr. 907/2016, cu modificările și completările ulterioare).</w:t>
      </w:r>
    </w:p>
    <w:p w14:paraId="6C684A58" w14:textId="77777777" w:rsidR="00047BDB" w:rsidRPr="00047BDB" w:rsidRDefault="00047BDB">
      <w:pPr>
        <w:numPr>
          <w:ilvl w:val="1"/>
          <w:numId w:val="56"/>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Cheltuieli diverse şi neprevăzute – sunt eligibile în limita a 10% din valoarea cheltuielilor eligibile cuprinse la categoria ”Construcţii şi instalaţii” de la pct d). </w:t>
      </w:r>
    </w:p>
    <w:bookmarkEnd w:id="149"/>
    <w:p w14:paraId="77F8F35F" w14:textId="77777777" w:rsidR="00047BDB" w:rsidRPr="00047BDB" w:rsidRDefault="00047BDB" w:rsidP="00047BDB">
      <w:pPr>
        <w:widowControl w:val="0"/>
        <w:pBdr>
          <w:top w:val="nil"/>
          <w:left w:val="nil"/>
          <w:bottom w:val="nil"/>
          <w:right w:val="nil"/>
          <w:between w:val="nil"/>
        </w:pBdr>
        <w:tabs>
          <w:tab w:val="left" w:pos="1849"/>
        </w:tabs>
        <w:spacing w:after="0"/>
        <w:ind w:left="0"/>
        <w:rPr>
          <w:rFonts w:eastAsia="Times New Roman"/>
          <w:iCs/>
        </w:rPr>
      </w:pPr>
      <w:r w:rsidRPr="00047BDB">
        <w:rPr>
          <w:rFonts w:eastAsia="Times New Roman"/>
          <w:iCs/>
        </w:rPr>
        <w:t xml:space="preserve">1.5 </w:t>
      </w:r>
      <w:bookmarkStart w:id="150" w:name="_Hlk150352467"/>
      <w:r w:rsidRPr="00047BDB">
        <w:rPr>
          <w:rFonts w:eastAsia="Times New Roman"/>
          <w:iCs/>
        </w:rPr>
        <w:t>Cheltuielile cu servicii:</w:t>
      </w:r>
      <w:bookmarkEnd w:id="150"/>
    </w:p>
    <w:p w14:paraId="249D88D0"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bookmarkStart w:id="151" w:name="_Hlk150352496"/>
      <w:r w:rsidRPr="00047BDB">
        <w:rPr>
          <w:rFonts w:eastAsia="Times New Roman"/>
          <w:iCs/>
        </w:rPr>
        <w:t>Studii - studii de teren, raport de impact asupra mediului, studii de specialitate în funcție de specificul investiției  (conform HG nr. 907/2016, cu modificările și completările ulterioare).</w:t>
      </w:r>
    </w:p>
    <w:p w14:paraId="4A964C6F"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Documentaţii - suport şi cheltuieli pentru obţinerea de avize, acorduri şi autorizații (conform HG nr. 907/2016, cu modificările și completările ulterioare).</w:t>
      </w:r>
    </w:p>
    <w:p w14:paraId="02FF12FF"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0E887DDB"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Servicii de proiectare (conform HG nr. 907/2016, cu modificările și completările ulterioare), cu excepția cheltuielilor legate de tema de proiectare și studiu de prefezabilitate, în condițiile în care ultima documentație tehnico-economică solicitată prin prezentul ghid este studiul de fezabilitate - SF (pentru construcții noi) sau Documentația de avizare a lucrărilor de intervenții - DALI (pentru intervenții la construcții existente). </w:t>
      </w:r>
    </w:p>
    <w:p w14:paraId="2550FD66"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2F15FD6F"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Dirigenţie de şantier– se includ cheltuieli efectuate pentru plata diriginţilor de şantier autorizaţi conform prevederilor legale.</w:t>
      </w:r>
    </w:p>
    <w:p w14:paraId="79A85AD2" w14:textId="77777777" w:rsidR="00047BDB" w:rsidRPr="00047BDB" w:rsidRDefault="00047BDB">
      <w:pPr>
        <w:numPr>
          <w:ilvl w:val="0"/>
          <w:numId w:val="57"/>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Coordonare în materie de securitate şi sănătate potrivit prevederilor Hotărârii Guvernului nr. 300/2006 privind cerinţele minime de securitate şi sănătate pentru şantierele temporare sau mobile, cu modificările şi completările ulterioare.</w:t>
      </w:r>
    </w:p>
    <w:bookmarkEnd w:id="151"/>
    <w:p w14:paraId="4AB11FC7" w14:textId="77777777" w:rsidR="00047BDB" w:rsidRPr="00047BDB" w:rsidRDefault="00047BDB" w:rsidP="00047BDB">
      <w:pPr>
        <w:widowControl w:val="0"/>
        <w:pBdr>
          <w:top w:val="nil"/>
          <w:left w:val="nil"/>
          <w:bottom w:val="nil"/>
          <w:right w:val="nil"/>
          <w:between w:val="nil"/>
        </w:pBdr>
        <w:tabs>
          <w:tab w:val="left" w:pos="1849"/>
        </w:tabs>
        <w:spacing w:after="0"/>
        <w:ind w:left="0"/>
        <w:rPr>
          <w:rFonts w:eastAsia="Times New Roman"/>
          <w:iCs/>
        </w:rPr>
      </w:pPr>
      <w:r w:rsidRPr="00047BDB">
        <w:rPr>
          <w:rFonts w:eastAsia="Times New Roman"/>
          <w:iCs/>
        </w:rPr>
        <w:t xml:space="preserve">1.6 </w:t>
      </w:r>
      <w:bookmarkStart w:id="152" w:name="_Hlk150352590"/>
      <w:r w:rsidRPr="00047BDB">
        <w:rPr>
          <w:rFonts w:eastAsia="Times New Roman"/>
          <w:iCs/>
        </w:rPr>
        <w:t>Cheltuieli cu taxe:</w:t>
      </w:r>
      <w:bookmarkEnd w:id="152"/>
    </w:p>
    <w:p w14:paraId="081CE7F1" w14:textId="77777777" w:rsidR="00047BDB" w:rsidRPr="00047BDB" w:rsidRDefault="00047BDB">
      <w:pPr>
        <w:numPr>
          <w:ilvl w:val="0"/>
          <w:numId w:val="58"/>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cota aferentă ISC pentru controlul calităţii lucrărilor de construcţii; </w:t>
      </w:r>
    </w:p>
    <w:p w14:paraId="57FAC970" w14:textId="77777777" w:rsidR="00047BDB" w:rsidRPr="00047BDB" w:rsidRDefault="00047BDB">
      <w:pPr>
        <w:numPr>
          <w:ilvl w:val="0"/>
          <w:numId w:val="58"/>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cota aferentă ISC pentru controlul statului în amenajarea teritoriului, urbanism şi pentru autorizarea lucrărilor de construcţii; </w:t>
      </w:r>
    </w:p>
    <w:p w14:paraId="4B0EB311" w14:textId="77777777" w:rsidR="00047BDB" w:rsidRPr="00047BDB" w:rsidRDefault="00047BDB">
      <w:pPr>
        <w:numPr>
          <w:ilvl w:val="0"/>
          <w:numId w:val="58"/>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 xml:space="preserve">cota aferentă Casei Sociale a Constructorilor – CSC; </w:t>
      </w:r>
    </w:p>
    <w:p w14:paraId="0DF863CD" w14:textId="77777777" w:rsidR="00047BDB" w:rsidRPr="00047BDB" w:rsidRDefault="00047BDB">
      <w:pPr>
        <w:numPr>
          <w:ilvl w:val="0"/>
          <w:numId w:val="58"/>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taxe pentru acorduri, avize conforme şi autorizaţia de construire/desfiinţare.</w:t>
      </w:r>
    </w:p>
    <w:p w14:paraId="0D197409" w14:textId="77777777" w:rsidR="00047BDB" w:rsidRPr="00047BDB" w:rsidRDefault="00047BDB" w:rsidP="00047BDB">
      <w:pPr>
        <w:widowControl w:val="0"/>
        <w:pBdr>
          <w:top w:val="nil"/>
          <w:left w:val="nil"/>
          <w:bottom w:val="nil"/>
          <w:right w:val="nil"/>
          <w:between w:val="nil"/>
        </w:pBdr>
        <w:tabs>
          <w:tab w:val="left" w:pos="1849"/>
        </w:tabs>
        <w:spacing w:after="0"/>
        <w:ind w:left="0"/>
        <w:rPr>
          <w:rFonts w:eastAsia="Times New Roman"/>
          <w:iCs/>
        </w:rPr>
      </w:pPr>
      <w:r w:rsidRPr="00047BDB">
        <w:rPr>
          <w:rFonts w:eastAsia="Times New Roman"/>
          <w:iCs/>
        </w:rPr>
        <w:t>1.7 Cheltuieli aferente marjei de buget şi pentru constituirea rezervei de implementare pentru ajustarea de preţ:</w:t>
      </w:r>
    </w:p>
    <w:p w14:paraId="24853877" w14:textId="77777777" w:rsidR="00047BDB" w:rsidRPr="00047BDB" w:rsidRDefault="00047BDB">
      <w:pPr>
        <w:numPr>
          <w:ilvl w:val="0"/>
          <w:numId w:val="59"/>
        </w:numPr>
        <w:pBdr>
          <w:top w:val="none" w:sz="0" w:space="0" w:color="auto"/>
          <w:left w:val="none" w:sz="0" w:space="0" w:color="auto"/>
          <w:bottom w:val="none" w:sz="0" w:space="0" w:color="auto"/>
          <w:right w:val="none" w:sz="0" w:space="0" w:color="auto"/>
          <w:between w:val="none" w:sz="0" w:space="0" w:color="auto"/>
        </w:pBdr>
        <w:spacing w:before="0" w:after="0"/>
        <w:contextualSpacing/>
        <w:rPr>
          <w:rFonts w:eastAsia="Times New Roman"/>
          <w:iCs/>
        </w:rPr>
      </w:pPr>
      <w:r w:rsidRPr="00047BDB">
        <w:rPr>
          <w:rFonts w:eastAsia="Times New Roman"/>
          <w:iCs/>
        </w:rPr>
        <w:t>Cheltuielile aferente marjei de buget sunt în cuantum de 25% din valoarea cumulată a cheltuielilor prevăzute la cap./subcap. 1.2, 1.3, 1.4, 2, 3.1, 3.2, 3.3, 3.5, 3.7, 3.8, 4, 5.1.1 din devizul general conform HG nr. 907/2016, cu modificările și completările ulterioare;</w:t>
      </w:r>
    </w:p>
    <w:p w14:paraId="25D3F3BD" w14:textId="77777777" w:rsidR="00047BDB" w:rsidRPr="00047BDB" w:rsidRDefault="00047BDB">
      <w:pPr>
        <w:numPr>
          <w:ilvl w:val="0"/>
          <w:numId w:val="59"/>
        </w:numPr>
        <w:pBdr>
          <w:top w:val="none" w:sz="0" w:space="0" w:color="auto"/>
          <w:left w:val="none" w:sz="0" w:space="0" w:color="auto"/>
          <w:bottom w:val="none" w:sz="0" w:space="0" w:color="auto"/>
          <w:right w:val="none" w:sz="0" w:space="0" w:color="auto"/>
          <w:between w:val="none" w:sz="0" w:space="0" w:color="auto"/>
        </w:pBdr>
        <w:contextualSpacing/>
        <w:rPr>
          <w:rFonts w:eastAsia="Times New Roman"/>
          <w:iCs/>
        </w:rPr>
      </w:pPr>
      <w:r w:rsidRPr="00047BDB">
        <w:rPr>
          <w:rFonts w:eastAsia="Times New Roman"/>
          <w:iCs/>
        </w:rPr>
        <w:t>Cheltuieli pentru constituirea rezervei de implementare pentru ajustarea de preţ.</w:t>
      </w:r>
    </w:p>
    <w:p w14:paraId="744068CB" w14:textId="77777777" w:rsidR="00A657B7" w:rsidRDefault="00A657B7">
      <w:pPr>
        <w:ind w:left="0"/>
        <w:rPr>
          <w:b/>
          <w:color w:val="000000"/>
        </w:rPr>
      </w:pPr>
    </w:p>
    <w:p w14:paraId="30FB7EE0" w14:textId="6AF61F77" w:rsidR="00BF6B67" w:rsidRPr="001C135E" w:rsidRDefault="00BF6B67" w:rsidP="00BF6B67">
      <w:pPr>
        <w:spacing w:after="0"/>
        <w:ind w:left="0"/>
        <w:rPr>
          <w:rFonts w:asciiTheme="minorHAnsi" w:hAnsiTheme="minorHAnsi"/>
        </w:rPr>
      </w:pPr>
      <w:r>
        <w:rPr>
          <w:rFonts w:eastAsia="Times New Roman"/>
          <w:b/>
          <w:bCs/>
          <w:i/>
        </w:rPr>
        <w:t xml:space="preserve">2. </w:t>
      </w:r>
      <w:r w:rsidRPr="001C135E">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1C135E">
        <w:rPr>
          <w:rFonts w:ascii="Arial" w:hAnsi="Arial" w:cs="Arial"/>
          <w:bCs/>
        </w:rPr>
        <w:t xml:space="preserve">. </w:t>
      </w:r>
      <w:r w:rsidRPr="001C135E">
        <w:rPr>
          <w:rFonts w:asciiTheme="minorHAnsi" w:hAnsiTheme="minorHAnsi"/>
        </w:rPr>
        <w:t>Acestea reprezintă 7 % din costurile directe eligibile și includ:</w:t>
      </w:r>
    </w:p>
    <w:p w14:paraId="3B3F31D0" w14:textId="77777777" w:rsidR="00BF6B67" w:rsidRPr="001C135E" w:rsidRDefault="00BF6B67" w:rsidP="00BF6B67">
      <w:pPr>
        <w:spacing w:after="0"/>
        <w:ind w:left="0"/>
        <w:rPr>
          <w:rFonts w:asciiTheme="minorHAnsi" w:hAnsiTheme="minorHAnsi"/>
        </w:rPr>
      </w:pPr>
      <w:r w:rsidRPr="001C135E">
        <w:rPr>
          <w:rFonts w:asciiTheme="minorHAnsi" w:hAnsiTheme="minorHAnsi"/>
        </w:rPr>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0266DB9F" w14:textId="77777777" w:rsidR="00BF6B67" w:rsidRDefault="00BF6B67" w:rsidP="00BF6B67">
      <w:pPr>
        <w:spacing w:after="0"/>
        <w:ind w:left="0"/>
        <w:rPr>
          <w:rFonts w:asciiTheme="minorHAnsi" w:hAnsiTheme="minorHAnsi"/>
        </w:rPr>
      </w:pPr>
      <w:r w:rsidRPr="001C135E">
        <w:rPr>
          <w:rFonts w:asciiTheme="minorHAnsi" w:hAnsiTheme="minorHAnsi"/>
        </w:rPr>
        <w:lastRenderedPageBreak/>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0E7CEA66" w14:textId="789B7D58" w:rsidR="002F7C59" w:rsidRDefault="002F7C59" w:rsidP="00BF6B67">
      <w:pPr>
        <w:spacing w:after="0"/>
        <w:ind w:left="0"/>
        <w:rPr>
          <w:rFonts w:asciiTheme="minorHAnsi" w:hAnsiTheme="minorHAnsi"/>
        </w:rPr>
      </w:pPr>
      <w:r>
        <w:rPr>
          <w:rFonts w:asciiTheme="minorHAnsi" w:hAnsiTheme="minorHAnsi"/>
        </w:rPr>
        <w:t xml:space="preserve">c) </w:t>
      </w:r>
      <w:r w:rsidRPr="002F7C59">
        <w:rPr>
          <w:rFonts w:asciiTheme="minorHAnsi" w:hAnsiTheme="minorHAnsi"/>
        </w:rPr>
        <w:t xml:space="preserve">Cheltuieli cu campanii  de informare </w:t>
      </w:r>
      <w:r w:rsidR="00C6278D">
        <w:rPr>
          <w:rFonts w:asciiTheme="minorHAnsi" w:hAnsiTheme="minorHAnsi"/>
        </w:rPr>
        <w:t xml:space="preserve">și asistență </w:t>
      </w:r>
      <w:r w:rsidRPr="002F7C59">
        <w:rPr>
          <w:rFonts w:asciiTheme="minorHAnsi" w:hAnsiTheme="minorHAnsi"/>
        </w:rPr>
        <w:t>cu privire la crearea și funcționarea comunității, în contextul obiectivelor proiectului</w:t>
      </w:r>
      <w:r>
        <w:rPr>
          <w:rFonts w:asciiTheme="minorHAnsi" w:hAnsiTheme="minorHAnsi"/>
        </w:rPr>
        <w:t>.</w:t>
      </w:r>
    </w:p>
    <w:p w14:paraId="51DFD891" w14:textId="77777777" w:rsidR="00BF6B67" w:rsidRDefault="00BF6B67" w:rsidP="00BF6B67">
      <w:pPr>
        <w:spacing w:after="0"/>
        <w:ind w:left="0"/>
        <w:rPr>
          <w:rFonts w:asciiTheme="minorHAnsi" w:hAnsiTheme="minorHAnsi"/>
        </w:rPr>
      </w:pPr>
    </w:p>
    <w:p w14:paraId="0DEFAAB3" w14:textId="77777777" w:rsidR="00BF6B67" w:rsidRPr="00BF6B67" w:rsidRDefault="00BF6B67" w:rsidP="00BF6B67">
      <w:pPr>
        <w:spacing w:after="0"/>
        <w:ind w:left="0"/>
        <w:rPr>
          <w:rFonts w:asciiTheme="minorHAnsi" w:hAnsiTheme="minorHAnsi"/>
          <w:b/>
          <w:bCs/>
          <w:color w:val="1C6194" w:themeColor="accent6" w:themeShade="BF"/>
          <w:u w:val="single"/>
        </w:rPr>
      </w:pPr>
      <w:r w:rsidRPr="00BF6B67">
        <w:rPr>
          <w:rFonts w:asciiTheme="minorHAnsi" w:hAnsiTheme="minorHAnsi"/>
          <w:b/>
          <w:bCs/>
          <w:color w:val="1C6194" w:themeColor="accent6" w:themeShade="BF"/>
          <w:u w:val="single"/>
        </w:rPr>
        <w:t>Condiții privind TVA (in lucru)</w:t>
      </w:r>
    </w:p>
    <w:p w14:paraId="3E745431" w14:textId="77777777" w:rsidR="00BF6B67" w:rsidRPr="00BF6B67" w:rsidRDefault="00BF6B67" w:rsidP="00BF6B67">
      <w:pPr>
        <w:spacing w:after="0"/>
        <w:ind w:left="0"/>
        <w:rPr>
          <w:rFonts w:asciiTheme="minorHAnsi" w:hAnsiTheme="minorHAnsi"/>
        </w:rPr>
      </w:pPr>
      <w:r w:rsidRPr="00BF6B67">
        <w:rPr>
          <w:rFonts w:asciiTheme="minorHAnsi" w:hAnsiTheme="minorHAnsi"/>
        </w:rPr>
        <w:t xml:space="preserve">În conformitate cu art. 64 alin. (1) lit. c) din Regulamentul (UE) 2021/1060, taxa pe valoarea adăugată („TVA”) este o cheltuială neeligibilă cu următoarele excepții: </w:t>
      </w:r>
    </w:p>
    <w:p w14:paraId="0FCEBA5D" w14:textId="77777777" w:rsidR="00BF6B67" w:rsidRPr="00BF6B67" w:rsidRDefault="00BF6B67" w:rsidP="00BF6B67">
      <w:pPr>
        <w:spacing w:after="0"/>
        <w:ind w:left="0"/>
        <w:rPr>
          <w:rFonts w:asciiTheme="minorHAnsi" w:hAnsiTheme="minorHAnsi"/>
        </w:rPr>
      </w:pPr>
      <w:r w:rsidRPr="00BF6B67">
        <w:rPr>
          <w:rFonts w:asciiTheme="minorHAnsi" w:hAnsiTheme="minorHAnsi"/>
        </w:rPr>
        <w:t>„(i) pentru operațiunile al căror cost total este mai mic de 5 000 000 EUR (inclusiv TVA);</w:t>
      </w:r>
    </w:p>
    <w:p w14:paraId="08D03E1B" w14:textId="77777777" w:rsidR="00BF6B67" w:rsidRPr="00BF6B67" w:rsidRDefault="00BF6B67" w:rsidP="00BF6B67">
      <w:pPr>
        <w:spacing w:after="0"/>
        <w:ind w:left="0"/>
        <w:rPr>
          <w:rFonts w:asciiTheme="minorHAnsi" w:hAnsiTheme="minorHAnsi"/>
        </w:rPr>
      </w:pPr>
      <w:r w:rsidRPr="00BF6B67">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37EB4DC1" w14:textId="77777777" w:rsidR="00BF6B67" w:rsidRPr="00BF6B67" w:rsidRDefault="00BF6B67" w:rsidP="00BF6B67">
      <w:pPr>
        <w:spacing w:after="0"/>
        <w:ind w:left="0"/>
        <w:rPr>
          <w:rFonts w:asciiTheme="minorHAnsi" w:hAnsiTheme="minorHAnsi"/>
        </w:rPr>
      </w:pPr>
      <w:r w:rsidRPr="00BF6B67">
        <w:rPr>
          <w:rFonts w:asciiTheme="minorHAnsi" w:hAnsiTheme="minorHAnsi"/>
        </w:rP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p>
    <w:p w14:paraId="5912A494" w14:textId="77777777" w:rsidR="00BF6B67" w:rsidRPr="00BF6B67" w:rsidRDefault="00BF6B67" w:rsidP="00BF6B67">
      <w:pPr>
        <w:spacing w:after="0"/>
        <w:ind w:left="0"/>
        <w:rPr>
          <w:rFonts w:asciiTheme="minorHAnsi" w:hAnsiTheme="minorHAnsi"/>
        </w:rPr>
      </w:pPr>
    </w:p>
    <w:p w14:paraId="3B4095D6" w14:textId="77777777" w:rsidR="00BF6B67" w:rsidRPr="00BF6B67" w:rsidRDefault="00BF6B67" w:rsidP="00BF6B67">
      <w:pPr>
        <w:spacing w:after="0"/>
        <w:ind w:left="0"/>
        <w:rPr>
          <w:rFonts w:asciiTheme="minorHAnsi" w:hAnsiTheme="minorHAnsi"/>
        </w:rPr>
      </w:pPr>
      <w:r w:rsidRPr="00BF6B67">
        <w:rPr>
          <w:rFonts w:asciiTheme="minorHAnsi" w:hAnsiTheme="minorHAnsi"/>
        </w:rPr>
        <w:t xml:space="preserve">Prin Ordinul comun MIPE - MF nr. 4013/5316/2023 au fost aprobate Instrucţiunile de aplicare a prevederilor art. 9 alin. (1) şi (2) din Hotărârea Guvernului nr. 873/2022. </w:t>
      </w:r>
    </w:p>
    <w:p w14:paraId="37C104F0" w14:textId="77777777" w:rsidR="00BF6B67" w:rsidRPr="00BF6B67" w:rsidRDefault="00BF6B67" w:rsidP="00BF6B67">
      <w:pPr>
        <w:spacing w:after="0"/>
        <w:ind w:left="0"/>
        <w:rPr>
          <w:rFonts w:asciiTheme="minorHAnsi" w:hAnsiTheme="minorHAnsi"/>
        </w:rPr>
      </w:pPr>
    </w:p>
    <w:p w14:paraId="02E74EFF" w14:textId="77777777" w:rsidR="00BF6B67" w:rsidRPr="00BF6B67" w:rsidRDefault="00BF6B67" w:rsidP="00BF6B67">
      <w:pPr>
        <w:spacing w:after="0"/>
        <w:ind w:left="0"/>
        <w:rPr>
          <w:rFonts w:asciiTheme="minorHAnsi" w:hAnsiTheme="minorHAnsi"/>
        </w:rPr>
      </w:pPr>
      <w:r w:rsidRPr="00BF6B67">
        <w:rPr>
          <w:rFonts w:asciiTheme="minorHAnsi" w:hAnsiTheme="minorHAnsi"/>
        </w:rPr>
        <w:t>În conformitate cu prevederile art 189 din Regulamentul (UE, Euratom) 2024/2509 al Parlamentului European şi al Consiliului, taxa pe valoarea adăugată (TVA) aferentă cheltuielilor eligibile reprezintă cheltuială neeligibilă.</w:t>
      </w:r>
    </w:p>
    <w:p w14:paraId="472B6430" w14:textId="77777777" w:rsidR="00BF6B67" w:rsidRDefault="00BF6B67" w:rsidP="00BF6B67">
      <w:pPr>
        <w:spacing w:after="0"/>
        <w:ind w:left="0"/>
        <w:rPr>
          <w:rFonts w:asciiTheme="minorHAnsi" w:hAnsiTheme="minorHAnsi"/>
        </w:rPr>
      </w:pPr>
    </w:p>
    <w:p w14:paraId="73C1179D" w14:textId="77777777" w:rsidR="00BF6B67" w:rsidRPr="001C135E" w:rsidRDefault="00BF6B67" w:rsidP="00BF6B67">
      <w:pPr>
        <w:spacing w:after="0"/>
        <w:ind w:left="0"/>
        <w:rPr>
          <w:rFonts w:asciiTheme="minorHAnsi" w:hAnsiTheme="minorHAnsi"/>
        </w:rPr>
      </w:pPr>
    </w:p>
    <w:p w14:paraId="6B23A95E" w14:textId="025A1776" w:rsidR="00A657B7" w:rsidRDefault="002F7C59" w:rsidP="002F7C59">
      <w:pPr>
        <w:pStyle w:val="Heading3"/>
        <w:numPr>
          <w:ilvl w:val="0"/>
          <w:numId w:val="0"/>
        </w:numPr>
      </w:pPr>
      <w:bookmarkStart w:id="153" w:name="_Toc213405577"/>
      <w:r>
        <w:t>5.3.3. Categorii de cheltuieli neeligibile</w:t>
      </w:r>
      <w:bookmarkEnd w:id="153"/>
    </w:p>
    <w:p w14:paraId="52256000" w14:textId="77777777" w:rsidR="00A657B7" w:rsidRDefault="00A657B7">
      <w:pPr>
        <w:spacing w:before="0" w:after="0"/>
        <w:ind w:left="0"/>
      </w:pPr>
    </w:p>
    <w:p w14:paraId="6FA307E4"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t xml:space="preserve">Categoriile de cheltuieli neeligibile sunt prevăzute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C729A3B" w14:textId="77777777" w:rsidR="00BF6B67" w:rsidRPr="00BF6B67" w:rsidRDefault="00BF6B67" w:rsidP="00BF6B67">
      <w:pPr>
        <w:pBdr>
          <w:top w:val="none" w:sz="0" w:space="0" w:color="auto"/>
          <w:left w:val="none" w:sz="0" w:space="0" w:color="auto"/>
          <w:bottom w:val="none" w:sz="0" w:space="0" w:color="auto"/>
          <w:right w:val="none" w:sz="0" w:space="0" w:color="auto"/>
          <w:between w:val="none" w:sz="0" w:space="0" w:color="auto"/>
        </w:pBdr>
        <w:spacing w:after="0"/>
        <w:ind w:left="0"/>
      </w:pPr>
      <w:r w:rsidRPr="00BF6B67">
        <w:rPr>
          <w:b/>
        </w:rPr>
        <w:t>Cheltuielile neeligibile</w:t>
      </w:r>
      <w:r w:rsidRPr="00BF6B67">
        <w:t xml:space="preserve"> aplicabile acestui apel de proiecte sunt:</w:t>
      </w:r>
    </w:p>
    <w:p w14:paraId="3393B28F" w14:textId="77777777" w:rsidR="00BF6B67" w:rsidRPr="00BF6B67" w:rsidRDefault="00BF6B6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180"/>
        <w:contextualSpacing/>
      </w:pPr>
      <w:r w:rsidRPr="00BF6B67">
        <w:t>cheltuielile prevăzute la art. 64 din Regulamentul (UE) 2021/1.060;</w:t>
      </w:r>
    </w:p>
    <w:p w14:paraId="4435EBB8"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3A0CE87"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efectuate în sprijinul relocării potrivit art. 66 din Regulamentul (UE) 2021/1.060;</w:t>
      </w:r>
      <w:r w:rsidRPr="00BF6B67">
        <w:tab/>
      </w:r>
    </w:p>
    <w:p w14:paraId="2B200555"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realizate în cadrul operațiunilor care intră sub incidența prevederilor art. 63 alin. (6) din Regulamentul (UE) 2021/1.060, cu excepția situațiilor reglementate la art. 20 alin. (1) lit. b) din același regulament;</w:t>
      </w:r>
    </w:p>
    <w:p w14:paraId="06796420" w14:textId="77777777" w:rsidR="00BF6B67" w:rsidRPr="00BF6B67" w:rsidRDefault="00BF6B6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firstLine="180"/>
        <w:contextualSpacing/>
      </w:pPr>
      <w:r w:rsidRPr="00BF6B67">
        <w:t>cheltuielile excluse de la finanțare potrivit art. 9 din Regulamentul (UE) nr. 1056/2021;</w:t>
      </w:r>
    </w:p>
    <w:p w14:paraId="7A02D5B8" w14:textId="77777777" w:rsidR="00BF6B67" w:rsidRPr="00BF6B67" w:rsidRDefault="00BF6B6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firstLine="180"/>
        <w:contextualSpacing/>
      </w:pPr>
      <w:r w:rsidRPr="00BF6B67">
        <w:t>cheltuieli efectuate peste plafoanele specifice stabilite de AM PTJ prin ghidul solicitantului;</w:t>
      </w:r>
    </w:p>
    <w:p w14:paraId="59CDF997" w14:textId="77777777" w:rsidR="00BF6B67" w:rsidRPr="00BF6B67" w:rsidRDefault="00BF6B6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180"/>
        <w:contextualSpacing/>
      </w:pPr>
      <w:r w:rsidRPr="00BF6B67">
        <w:t xml:space="preserve">cheltuielile excluse de la finanțare de autoritatea de management prin prezentul ghid al solicitantului, în aplicarea prevederilor art. 2 alin. (1) lit. f) din HG nr. </w:t>
      </w:r>
      <w:r w:rsidRPr="00BF6B67">
        <w:rPr>
          <w:rFonts w:eastAsia="Times New Roman"/>
          <w:iCs/>
          <w:caps/>
        </w:rPr>
        <w:t>873/2022</w:t>
      </w:r>
      <w:r w:rsidRPr="00BF6B67">
        <w:t>, corespunzător specificului programului și particularităților operațiunilor;</w:t>
      </w:r>
      <w:r w:rsidRPr="00BF6B67">
        <w:tab/>
      </w:r>
      <w:r w:rsidRPr="00BF6B67">
        <w:tab/>
      </w:r>
    </w:p>
    <w:p w14:paraId="4DECF889"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lastRenderedPageBreak/>
        <w:t>cheltuielile privind costurile de funcționare și întreținere a obiectivelor finanțate prin proiect (cheltuielile pentru probe tehnologice, teste) se vor încadra în buget ca și cheltuieli neeligibile;</w:t>
      </w:r>
    </w:p>
    <w:p w14:paraId="17078214"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 xml:space="preserve">cheltuielile cu achiziţionarea autovehiculelor si a mijloacelor de transport, aşa cum sunt ele clasificate în Subgrupa 2.3. „Mijloace de transport” din HG nr.2139/2004, cu exceptia tramvaielor/troleibuzelor/autobuzelor/microbuzelor cu propulsie electrică, destinate transportului public și/sau pentru transportul elevilor. </w:t>
      </w:r>
    </w:p>
    <w:p w14:paraId="1615F8BC" w14:textId="77777777" w:rsidR="00BF6B67" w:rsidRPr="00BF6B67" w:rsidRDefault="00BF6B67">
      <w:pPr>
        <w:numPr>
          <w:ilvl w:val="0"/>
          <w:numId w:val="44"/>
        </w:numPr>
        <w:pBdr>
          <w:top w:val="none" w:sz="0" w:space="0" w:color="auto"/>
          <w:left w:val="none" w:sz="0" w:space="0" w:color="auto"/>
          <w:bottom w:val="none" w:sz="0" w:space="0" w:color="auto"/>
          <w:right w:val="none" w:sz="0" w:space="0" w:color="auto"/>
          <w:between w:val="none" w:sz="0" w:space="0" w:color="auto"/>
        </w:pBdr>
        <w:spacing w:before="0" w:after="0"/>
        <w:ind w:left="720" w:hanging="180"/>
        <w:contextualSpacing/>
      </w:pPr>
      <w:r w:rsidRPr="00BF6B67">
        <w:t>taxa pe valoarea adaugată recuperabilă;</w:t>
      </w:r>
    </w:p>
    <w:p w14:paraId="63F3F200"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privind costuri administrative;</w:t>
      </w:r>
    </w:p>
    <w:p w14:paraId="2097E290"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de personal;</w:t>
      </w:r>
    </w:p>
    <w:p w14:paraId="7DDB6BC0" w14:textId="77777777" w:rsidR="00BF6B67" w:rsidRPr="00BF6B67" w:rsidRDefault="00BF6B67">
      <w:pPr>
        <w:numPr>
          <w:ilvl w:val="0"/>
          <w:numId w:val="44"/>
        </w:numPr>
        <w:pBdr>
          <w:top w:val="nil"/>
          <w:left w:val="nil"/>
          <w:bottom w:val="nil"/>
          <w:right w:val="nil"/>
          <w:between w:val="nil"/>
        </w:pBdr>
        <w:spacing w:before="0" w:after="0"/>
        <w:ind w:left="720" w:hanging="270"/>
        <w:contextualSpacing/>
      </w:pPr>
      <w:r w:rsidRPr="00BF6B67">
        <w:t>cheltuielile financiare, respectiv prime de asigurare, taxe, comisioane, rata și dobânzi aferente creditelor;</w:t>
      </w:r>
    </w:p>
    <w:p w14:paraId="65C1A2DA"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contribuția în natură;</w:t>
      </w:r>
    </w:p>
    <w:p w14:paraId="50917A02"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amortizarea;</w:t>
      </w:r>
    </w:p>
    <w:p w14:paraId="78027F62"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 xml:space="preserve">cheltuielile cu leasingul, prevăzute la art. 7 din HG nr. </w:t>
      </w:r>
      <w:r w:rsidRPr="00BF6B67">
        <w:rPr>
          <w:rFonts w:eastAsia="Times New Roman"/>
          <w:iCs/>
          <w:caps/>
        </w:rPr>
        <w:t>873/2022;</w:t>
      </w:r>
      <w:r w:rsidRPr="00BF6B67">
        <w:t xml:space="preserve">  </w:t>
      </w:r>
    </w:p>
    <w:p w14:paraId="12DDB895"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cheltuielile privind achiziţia de dotări/echipamente/utilaje second-hand;</w:t>
      </w:r>
    </w:p>
    <w:p w14:paraId="5EFEE7D8"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amenzi, penalități, cheltuieli de judecată și cheltuieli de arbitraj;</w:t>
      </w:r>
    </w:p>
    <w:p w14:paraId="741140C0"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materialele consumabile, conform reglementărilor contabile (materiale auxiliare, combustibili, piese de schimb, alte materiale consumabile) sau dotări din categoria obiectelor de inventar;</w:t>
      </w:r>
    </w:p>
    <w:p w14:paraId="54EE0C8C"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mentenanță, asigurări, alte costuri de întreținere</w:t>
      </w:r>
    </w:p>
    <w:p w14:paraId="4B642802"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 cu reparația și întreținerea mijloacelor de transport public</w:t>
      </w:r>
    </w:p>
    <w:p w14:paraId="5C5FA3B3" w14:textId="77777777" w:rsidR="00BF6B67" w:rsidRPr="00BF6B67" w:rsidRDefault="00BF6B67">
      <w:pPr>
        <w:numPr>
          <w:ilvl w:val="0"/>
          <w:numId w:val="44"/>
        </w:numPr>
        <w:pBdr>
          <w:top w:val="nil"/>
          <w:left w:val="nil"/>
          <w:bottom w:val="nil"/>
          <w:right w:val="nil"/>
          <w:between w:val="nil"/>
        </w:pBdr>
        <w:spacing w:before="0" w:after="0"/>
        <w:ind w:left="720" w:hanging="180"/>
        <w:contextualSpacing/>
      </w:pPr>
      <w:r w:rsidRPr="00BF6B67">
        <w:t>cheltuieli care nu corespund particularităţilor/ obiectivelor/activităţilor sprijinite prin Obiectivul specific JSO8.1 al PTJ.</w:t>
      </w:r>
    </w:p>
    <w:p w14:paraId="5C17F519" w14:textId="77777777" w:rsidR="00BF6B67" w:rsidRPr="00BF6B67" w:rsidRDefault="00BF6B67" w:rsidP="00BF6B67">
      <w:pPr>
        <w:pBdr>
          <w:top w:val="nil"/>
          <w:left w:val="nil"/>
          <w:bottom w:val="nil"/>
          <w:right w:val="nil"/>
          <w:between w:val="nil"/>
        </w:pBdr>
        <w:spacing w:after="0"/>
        <w:ind w:left="0"/>
        <w:contextualSpacing/>
        <w:rPr>
          <w:b/>
          <w:bCs/>
          <w:color w:val="74B5E4"/>
        </w:rPr>
      </w:pPr>
      <w:r w:rsidRPr="00BF6B67">
        <w:rPr>
          <w:b/>
          <w:bCs/>
          <w:color w:val="74B5E4"/>
        </w:rPr>
        <w:t xml:space="preserve">NOTĂ: </w:t>
      </w:r>
    </w:p>
    <w:p w14:paraId="1E22AF94" w14:textId="77777777" w:rsidR="00BF6B67" w:rsidRPr="00BF6B67" w:rsidRDefault="00BF6B67">
      <w:pPr>
        <w:numPr>
          <w:ilvl w:val="0"/>
          <w:numId w:val="45"/>
        </w:numPr>
        <w:pBdr>
          <w:top w:val="nil"/>
          <w:left w:val="nil"/>
          <w:bottom w:val="nil"/>
          <w:right w:val="nil"/>
          <w:between w:val="nil"/>
        </w:pBdr>
        <w:spacing w:after="0"/>
        <w:ind w:left="0" w:firstLine="540"/>
        <w:contextualSpacing/>
      </w:pPr>
      <w:r w:rsidRPr="00BF6B67">
        <w:t>Cheltuielile aferente investițiilor pe suprafețele de teren pentru care nu este demonstrată clar proprietatea/alte drepturi sau nu îndeplinesc toate condițiile de eligibilitate, dar lucrările sunt necesare în vederea asigurării funcționalității proiectului, devin neeligibile.</w:t>
      </w:r>
    </w:p>
    <w:p w14:paraId="06132E62" w14:textId="2C817BDC" w:rsidR="00A657B7" w:rsidRDefault="002F7C59" w:rsidP="002F7C59">
      <w:pPr>
        <w:pStyle w:val="Heading3"/>
        <w:numPr>
          <w:ilvl w:val="0"/>
          <w:numId w:val="0"/>
        </w:numPr>
      </w:pPr>
      <w:bookmarkStart w:id="154" w:name="_Toc213405578"/>
      <w:r>
        <w:t>5.3.4. Opțiuni de costuri simplificate. Costuri directe și costuri indirecte</w:t>
      </w:r>
      <w:bookmarkEnd w:id="154"/>
      <w:r>
        <w:t xml:space="preserve"> </w:t>
      </w:r>
    </w:p>
    <w:p w14:paraId="0DAD2435" w14:textId="77777777" w:rsidR="00BF6B67" w:rsidRPr="00D80F37" w:rsidRDefault="00BF6B67" w:rsidP="00BF6B67">
      <w:pPr>
        <w:spacing w:after="0"/>
        <w:ind w:left="0"/>
        <w:rPr>
          <w:rFonts w:asciiTheme="minorHAnsi" w:eastAsia="SimSun" w:hAnsiTheme="minorHAnsi"/>
          <w:lang w:bidi="ro-RO"/>
        </w:rPr>
      </w:pPr>
      <w:r w:rsidRPr="00D80F37">
        <w:rPr>
          <w:rFonts w:asciiTheme="minorHAnsi" w:eastAsia="SimSun" w:hAnsiTheme="minorHAnsi"/>
          <w:lang w:bidi="ro-RO"/>
        </w:rPr>
        <w:t>În conformitate cu art. 54, lit. (a) din Regulamentul (UE) 2021/1060, se vor calcula costurile indirecte prin aplicarea unei rate forfetare asupra costurilor directe eligibile, în conformitate cu subcapitolele 5.4.2 și 5.4.4. din prezentul ghid.</w:t>
      </w:r>
    </w:p>
    <w:p w14:paraId="4652CCF6" w14:textId="77777777" w:rsidR="00BF6B67" w:rsidRPr="00D80F37" w:rsidRDefault="00BF6B67" w:rsidP="00BF6B67">
      <w:pPr>
        <w:spacing w:after="0"/>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718DCCAF" w14:textId="77777777" w:rsidR="00BF6B67" w:rsidRPr="008A333C" w:rsidRDefault="00BF6B67">
      <w:pPr>
        <w:pStyle w:val="ListParagraph"/>
        <w:numPr>
          <w:ilvl w:val="0"/>
          <w:numId w:val="46"/>
        </w:numPr>
        <w:pBdr>
          <w:top w:val="none" w:sz="0" w:space="0" w:color="auto"/>
          <w:left w:val="none" w:sz="0" w:space="0" w:color="auto"/>
          <w:bottom w:val="none" w:sz="0" w:space="0" w:color="auto"/>
          <w:right w:val="none" w:sz="0" w:space="0" w:color="auto"/>
          <w:between w:val="none" w:sz="0" w:space="0" w:color="auto"/>
        </w:pBdr>
        <w:spacing w:after="0"/>
        <w:rPr>
          <w:rFonts w:asciiTheme="minorHAnsi" w:eastAsia="SimSun" w:hAnsiTheme="minorHAnsi"/>
          <w:lang w:bidi="ro-RO"/>
        </w:rPr>
      </w:pPr>
      <w:r w:rsidRPr="008A333C">
        <w:rPr>
          <w:rFonts w:asciiTheme="minorHAnsi" w:eastAsia="SimSun" w:hAnsiTheme="minorHAnsi"/>
          <w:lang w:bidi="ro-RO"/>
        </w:rPr>
        <w:t>consultanță pentru pregătirea documentației de proiect și managementul proiectului (a se vedea categoriile de costuri detaliate la subcapitolul 5.4.2);</w:t>
      </w:r>
    </w:p>
    <w:p w14:paraId="67F2552D" w14:textId="77777777" w:rsidR="00BF6B67" w:rsidRPr="008A333C" w:rsidRDefault="00BF6B67">
      <w:pPr>
        <w:pStyle w:val="ListParagraph"/>
        <w:numPr>
          <w:ilvl w:val="0"/>
          <w:numId w:val="46"/>
        </w:numPr>
        <w:pBdr>
          <w:top w:val="none" w:sz="0" w:space="0" w:color="auto"/>
          <w:left w:val="none" w:sz="0" w:space="0" w:color="auto"/>
          <w:bottom w:val="none" w:sz="0" w:space="0" w:color="auto"/>
          <w:right w:val="none" w:sz="0" w:space="0" w:color="auto"/>
          <w:between w:val="none" w:sz="0" w:space="0" w:color="auto"/>
        </w:pBdr>
        <w:spacing w:after="0"/>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0CDFCB92" w14:textId="77777777" w:rsidR="00BF6B67" w:rsidRPr="00BF6B67" w:rsidRDefault="00BF6B67" w:rsidP="00BF6B67"/>
    <w:p w14:paraId="28E70CB7" w14:textId="1E9AB5B4" w:rsidR="00A657B7" w:rsidRDefault="002F7C59" w:rsidP="002F7C59">
      <w:pPr>
        <w:pStyle w:val="Heading3"/>
        <w:numPr>
          <w:ilvl w:val="0"/>
          <w:numId w:val="0"/>
        </w:numPr>
      </w:pPr>
      <w:bookmarkStart w:id="155" w:name="_Toc213405579"/>
      <w:r>
        <w:t>5.3.5. Opțiuni de costuri simplificate. Costuri unitare/sume forfetare și rate forfetare</w:t>
      </w:r>
      <w:bookmarkEnd w:id="155"/>
      <w:r>
        <w:t xml:space="preserve"> </w:t>
      </w:r>
    </w:p>
    <w:p w14:paraId="4AD952B5" w14:textId="77777777" w:rsidR="00882FDF" w:rsidRPr="00D80F37" w:rsidRDefault="00882FDF" w:rsidP="00882FDF">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0E46BC1A"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de 7% din costurile directe eligibile. </w:t>
      </w:r>
    </w:p>
    <w:p w14:paraId="4AAAFCD3"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1CB1FA27" w14:textId="77777777" w:rsidR="00882FDF" w:rsidRPr="00D80F37" w:rsidRDefault="00882FDF" w:rsidP="00882FDF">
      <w:pPr>
        <w:ind w:firstLine="720"/>
        <w:rPr>
          <w:rFonts w:asciiTheme="minorHAnsi" w:eastAsia="SimSun" w:hAnsiTheme="minorHAnsi"/>
          <w:lang w:bidi="ro-RO"/>
        </w:rPr>
      </w:pPr>
      <w:bookmarkStart w:id="156" w:name="_Hlk148976064"/>
      <w:r w:rsidRPr="00D80F37">
        <w:rPr>
          <w:rFonts w:asciiTheme="minorHAnsi" w:eastAsia="SimSun" w:hAnsiTheme="minorHAnsi"/>
          <w:lang w:bidi="ro-RO"/>
        </w:rPr>
        <w:t>Co ind = Co dir * Rforfetară (7%)</w:t>
      </w:r>
    </w:p>
    <w:bookmarkEnd w:id="156"/>
    <w:p w14:paraId="72D6794A"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Unde:</w:t>
      </w:r>
    </w:p>
    <w:p w14:paraId="28F804E5"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4DE08627"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39877284" w14:textId="77777777" w:rsidR="00882FDF" w:rsidRPr="00D80F37" w:rsidRDefault="00882FDF" w:rsidP="00882FDF">
      <w:pPr>
        <w:ind w:firstLine="720"/>
        <w:rPr>
          <w:rFonts w:asciiTheme="minorHAnsi" w:eastAsia="SimSun" w:hAnsiTheme="minorHAnsi"/>
          <w:lang w:bidi="ro-RO"/>
        </w:rPr>
      </w:pPr>
      <w:r w:rsidRPr="00D80F37">
        <w:rPr>
          <w:rFonts w:asciiTheme="minorHAnsi" w:eastAsia="SimSun" w:hAnsiTheme="minorHAnsi"/>
          <w:lang w:bidi="ro-RO"/>
        </w:rPr>
        <w:t>Rforfetară (%) = rata forfetară</w:t>
      </w:r>
    </w:p>
    <w:p w14:paraId="1C40FE75"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lastRenderedPageBreak/>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046E9371" w14:textId="77777777" w:rsidR="00882FDF" w:rsidRPr="00D80F37" w:rsidRDefault="00882FDF" w:rsidP="00882FDF">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 Solicitantul nu trebuie să detalieze costurile indirecte în Cererea de finanțare.</w:t>
      </w:r>
    </w:p>
    <w:p w14:paraId="52C1C981" w14:textId="77777777" w:rsidR="00882FDF" w:rsidRPr="00882FDF" w:rsidRDefault="00882FDF" w:rsidP="00047BDB">
      <w:pPr>
        <w:ind w:left="0"/>
      </w:pPr>
    </w:p>
    <w:p w14:paraId="42DF9B47" w14:textId="54EC042E" w:rsidR="00A657B7" w:rsidRDefault="008D524F" w:rsidP="008D524F">
      <w:pPr>
        <w:pStyle w:val="Heading3"/>
        <w:numPr>
          <w:ilvl w:val="0"/>
          <w:numId w:val="0"/>
        </w:numPr>
      </w:pPr>
      <w:bookmarkStart w:id="157" w:name="_Toc213405580"/>
      <w:r>
        <w:t>5.3.6 Finanțare nelegată de costuri (NA)</w:t>
      </w:r>
      <w:bookmarkEnd w:id="157"/>
    </w:p>
    <w:p w14:paraId="1754C19F" w14:textId="3473E3BD" w:rsidR="00A657B7" w:rsidRDefault="002F7C59" w:rsidP="002F7C59">
      <w:pPr>
        <w:pStyle w:val="Heading2"/>
        <w:tabs>
          <w:tab w:val="left" w:pos="0"/>
        </w:tabs>
        <w:ind w:left="0"/>
      </w:pPr>
      <w:bookmarkStart w:id="158" w:name="_Toc143499324"/>
      <w:bookmarkStart w:id="159" w:name="_Toc213405581"/>
      <w:r>
        <w:t>5.4.Valoarea minimă și maximă eligibilă/nerambursabilă a unui proiect</w:t>
      </w:r>
      <w:bookmarkEnd w:id="158"/>
      <w:bookmarkEnd w:id="159"/>
    </w:p>
    <w:p w14:paraId="5508FF1B" w14:textId="77777777" w:rsidR="00882FDF" w:rsidRPr="005B7C66" w:rsidRDefault="00882FDF" w:rsidP="00882FDF">
      <w:pPr>
        <w:spacing w:after="0"/>
        <w:ind w:left="0"/>
        <w:rPr>
          <w:rFonts w:asciiTheme="minorHAnsi" w:eastAsia="SimSun" w:hAnsiTheme="minorHAnsi"/>
        </w:rPr>
      </w:pPr>
      <w:bookmarkStart w:id="160" w:name="_Toc143499325"/>
      <w:r w:rsidRPr="005B7C66">
        <w:rPr>
          <w:rFonts w:asciiTheme="minorHAnsi" w:eastAsia="SimSun" w:hAnsiTheme="minorHAnsi"/>
          <w:b/>
        </w:rPr>
        <w:t>Valoarea totală eligibilă</w:t>
      </w:r>
      <w:r w:rsidRPr="005B7C66">
        <w:rPr>
          <w:rFonts w:asciiTheme="minorHAnsi" w:eastAsia="SimSun" w:hAnsiTheme="minorHAnsi"/>
        </w:rPr>
        <w:t xml:space="preserve"> a cererii de finanțare se încadrează în următoarele limite:</w:t>
      </w:r>
    </w:p>
    <w:p w14:paraId="552F849A" w14:textId="54E8DE90" w:rsidR="00882FDF" w:rsidRPr="004F1B1C" w:rsidRDefault="00882FDF">
      <w:pPr>
        <w:pStyle w:val="ListParagraph"/>
        <w:numPr>
          <w:ilvl w:val="0"/>
          <w:numId w:val="47"/>
        </w:numPr>
        <w:pBdr>
          <w:top w:val="none" w:sz="0" w:space="0" w:color="auto"/>
          <w:left w:val="none" w:sz="0" w:space="0" w:color="auto"/>
          <w:bottom w:val="none" w:sz="0" w:space="0" w:color="auto"/>
          <w:right w:val="none" w:sz="0" w:space="0" w:color="auto"/>
          <w:between w:val="none" w:sz="0" w:space="0" w:color="auto"/>
        </w:pBdr>
        <w:spacing w:before="0" w:after="0"/>
        <w:ind w:left="0" w:firstLine="450"/>
        <w:contextualSpacing w:val="0"/>
        <w:rPr>
          <w:rFonts w:asciiTheme="minorHAnsi" w:eastAsia="SimSun" w:hAnsiTheme="minorHAnsi"/>
        </w:rPr>
      </w:pPr>
      <w:r w:rsidRPr="005B7C66">
        <w:rPr>
          <w:rFonts w:asciiTheme="minorHAnsi" w:eastAsia="SimSun" w:hAnsiTheme="minorHAnsi"/>
          <w:bCs/>
        </w:rPr>
        <w:t>Valoarea minimă eligibilă:</w:t>
      </w:r>
      <w:r>
        <w:rPr>
          <w:rFonts w:asciiTheme="minorHAnsi" w:eastAsia="SimSun" w:hAnsiTheme="minorHAnsi"/>
          <w:bCs/>
        </w:rPr>
        <w:t xml:space="preserve"> </w:t>
      </w:r>
      <w:r w:rsidRPr="004F1B1C">
        <w:rPr>
          <w:rFonts w:asciiTheme="minorHAnsi" w:hAnsiTheme="minorHAnsi"/>
          <w:bCs/>
        </w:rPr>
        <w:t xml:space="preserve">300.000 euro </w:t>
      </w:r>
    </w:p>
    <w:p w14:paraId="7E70D844" w14:textId="03E7C3CB" w:rsidR="00882FDF" w:rsidRPr="004F1B1C" w:rsidRDefault="00882FDF">
      <w:pPr>
        <w:pStyle w:val="ListParagraph"/>
        <w:numPr>
          <w:ilvl w:val="0"/>
          <w:numId w:val="47"/>
        </w:numPr>
        <w:pBdr>
          <w:top w:val="none" w:sz="0" w:space="0" w:color="auto"/>
          <w:left w:val="none" w:sz="0" w:space="0" w:color="auto"/>
          <w:bottom w:val="none" w:sz="0" w:space="0" w:color="auto"/>
          <w:right w:val="none" w:sz="0" w:space="0" w:color="auto"/>
          <w:between w:val="none" w:sz="0" w:space="0" w:color="auto"/>
        </w:pBdr>
        <w:spacing w:before="0" w:after="0"/>
        <w:ind w:left="0" w:firstLine="450"/>
        <w:contextualSpacing w:val="0"/>
        <w:rPr>
          <w:rFonts w:asciiTheme="minorHAnsi" w:eastAsia="SimSun" w:hAnsiTheme="minorHAnsi"/>
          <w:bCs/>
        </w:rPr>
      </w:pPr>
      <w:r w:rsidRPr="004F1B1C">
        <w:rPr>
          <w:rFonts w:asciiTheme="minorHAnsi" w:eastAsia="SimSun" w:hAnsiTheme="minorHAnsi"/>
          <w:bCs/>
        </w:rPr>
        <w:t xml:space="preserve">Valoarea maximă eligibilă </w:t>
      </w:r>
      <w:r w:rsidRPr="004F1B1C">
        <w:rPr>
          <w:rFonts w:asciiTheme="minorHAnsi" w:eastAsia="SimSun" w:hAnsiTheme="minorHAnsi"/>
          <w:bCs/>
          <w:lang w:val="en-US"/>
        </w:rPr>
        <w:t xml:space="preserve">: </w:t>
      </w:r>
      <w:r w:rsidRPr="004F1B1C">
        <w:rPr>
          <w:rFonts w:asciiTheme="minorHAnsi" w:hAnsiTheme="minorHAnsi"/>
          <w:bCs/>
        </w:rPr>
        <w:t>10.000.000 euro</w:t>
      </w:r>
    </w:p>
    <w:p w14:paraId="3F090F1D" w14:textId="7112EF3D" w:rsidR="00882FDF" w:rsidRPr="00882FDF" w:rsidRDefault="00882FDF" w:rsidP="00882FDF">
      <w:pPr>
        <w:pStyle w:val="ListParagraph"/>
        <w:pBdr>
          <w:top w:val="none" w:sz="0" w:space="0" w:color="auto"/>
          <w:left w:val="none" w:sz="0" w:space="0" w:color="auto"/>
          <w:bottom w:val="none" w:sz="0" w:space="0" w:color="auto"/>
          <w:right w:val="none" w:sz="0" w:space="0" w:color="auto"/>
          <w:between w:val="none" w:sz="0" w:space="0" w:color="auto"/>
        </w:pBdr>
        <w:spacing w:before="0" w:after="0"/>
        <w:ind w:left="450"/>
        <w:contextualSpacing w:val="0"/>
        <w:rPr>
          <w:rFonts w:asciiTheme="minorHAnsi" w:eastAsia="SimSun" w:hAnsiTheme="minorHAnsi"/>
          <w:bCs/>
        </w:rPr>
      </w:pPr>
      <w:r w:rsidRPr="00882FDF">
        <w:rPr>
          <w:rFonts w:asciiTheme="minorHAnsi" w:eastAsia="SimSun" w:hAnsiTheme="minorHAnsi"/>
          <w:bCs/>
        </w:rPr>
        <w:t>În cazul în care valoarea eligibilă a proiectului depășește valorile maxime eligibile, solicitantul poate include diferența în categoria cheltuielilor neeligibile.</w:t>
      </w:r>
    </w:p>
    <w:p w14:paraId="5995ABE4" w14:textId="77777777" w:rsidR="00882FDF" w:rsidRDefault="00882FDF" w:rsidP="00882FDF">
      <w:pPr>
        <w:spacing w:after="0"/>
        <w:ind w:left="0"/>
        <w:rPr>
          <w:rFonts w:asciiTheme="minorHAnsi" w:eastAsia="SimSun" w:hAnsiTheme="minorHAnsi"/>
          <w:bCs/>
        </w:rPr>
      </w:pPr>
    </w:p>
    <w:tbl>
      <w:tblPr>
        <w:tblStyle w:val="TableGrid"/>
        <w:tblW w:w="0" w:type="auto"/>
        <w:shd w:val="clear" w:color="auto" w:fill="D0E6F6" w:themeFill="accent6" w:themeFillTint="33"/>
        <w:tblLook w:val="04A0" w:firstRow="1" w:lastRow="0" w:firstColumn="1" w:lastColumn="0" w:noHBand="0" w:noVBand="1"/>
      </w:tblPr>
      <w:tblGrid>
        <w:gridCol w:w="9629"/>
      </w:tblGrid>
      <w:tr w:rsidR="00882FDF" w14:paraId="6C5BB81D" w14:textId="77777777" w:rsidTr="00900EB1">
        <w:tc>
          <w:tcPr>
            <w:tcW w:w="9629" w:type="dxa"/>
            <w:shd w:val="clear" w:color="auto" w:fill="D0E6F6" w:themeFill="accent6" w:themeFillTint="33"/>
          </w:tcPr>
          <w:p w14:paraId="5DF03A4B" w14:textId="77777777" w:rsidR="00882FDF" w:rsidRPr="005B7C66" w:rsidRDefault="00882FDF" w:rsidP="00900EB1">
            <w:pPr>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p w14:paraId="63F941BC" w14:textId="77777777" w:rsidR="00882FDF" w:rsidRDefault="00882FDF" w:rsidP="00900EB1">
            <w:pPr>
              <w:ind w:left="0"/>
              <w:rPr>
                <w:rFonts w:asciiTheme="minorHAnsi" w:eastAsia="SimSun" w:hAnsiTheme="minorHAnsi"/>
                <w:bCs/>
              </w:rPr>
            </w:pPr>
          </w:p>
        </w:tc>
      </w:tr>
    </w:tbl>
    <w:p w14:paraId="15B3232E" w14:textId="77777777" w:rsidR="00882FDF" w:rsidRDefault="00882FDF" w:rsidP="00882FDF">
      <w:pPr>
        <w:spacing w:after="0"/>
        <w:ind w:left="0"/>
        <w:rPr>
          <w:rFonts w:asciiTheme="minorHAnsi" w:eastAsia="SimSun" w:hAnsiTheme="minorHAnsi"/>
          <w:bCs/>
        </w:rPr>
      </w:pPr>
    </w:p>
    <w:p w14:paraId="295E7B03" w14:textId="77777777" w:rsidR="00A657B7" w:rsidRDefault="00245051">
      <w:pPr>
        <w:pStyle w:val="Heading2"/>
        <w:numPr>
          <w:ilvl w:val="1"/>
          <w:numId w:val="54"/>
        </w:numPr>
      </w:pPr>
      <w:bookmarkStart w:id="161" w:name="_Toc213405582"/>
      <w:r>
        <w:t>Cuantumul cofinanțării acordate</w:t>
      </w:r>
      <w:bookmarkEnd w:id="160"/>
      <w:bookmarkEnd w:id="161"/>
      <w:r>
        <w:t xml:space="preserve"> </w:t>
      </w:r>
      <w:r>
        <w:tab/>
      </w:r>
    </w:p>
    <w:p w14:paraId="6E50DD8F" w14:textId="77777777" w:rsidR="00882FDF" w:rsidRDefault="00882FDF" w:rsidP="00882FDF">
      <w:pPr>
        <w:spacing w:before="0" w:after="0"/>
        <w:ind w:left="0"/>
      </w:pPr>
      <w:bookmarkStart w:id="162" w:name="_heading=h.3cqmetx"/>
      <w:bookmarkEnd w:id="162"/>
      <w:r>
        <w:t>Contribuția Programului (FTJ + BS) la finanțarea unei investiții în cadrul acestui apel de proiecte, este de 98% din valoarea totală eligibilă a investiției, care reprezintă suma cheltuielilor eligibile incluse în proiect, din care buget FTJ 85% și Buget de Stat 13%.</w:t>
      </w:r>
    </w:p>
    <w:p w14:paraId="2F50A7F1" w14:textId="5C408686" w:rsidR="00882FDF" w:rsidRDefault="00882FDF">
      <w:pPr>
        <w:pStyle w:val="ListParagraph"/>
        <w:numPr>
          <w:ilvl w:val="0"/>
          <w:numId w:val="60"/>
        </w:numPr>
        <w:spacing w:before="0" w:after="0"/>
      </w:pPr>
      <w:r>
        <w:t>Beneficiarii vor asigura din bugetele proprii o cofinanțare de minim 2% din valoarea cheltuielilor eligibile.</w:t>
      </w:r>
    </w:p>
    <w:p w14:paraId="44479F18" w14:textId="77777777" w:rsidR="00882FDF" w:rsidRDefault="00882FDF" w:rsidP="00882FDF">
      <w:pPr>
        <w:spacing w:before="0" w:after="0"/>
        <w:ind w:left="0"/>
      </w:pPr>
      <w: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286A42F0" w14:textId="0AAF2DB2" w:rsidR="00A657B7" w:rsidRDefault="00882FDF" w:rsidP="00882FDF">
      <w:pPr>
        <w:spacing w:before="0" w:after="0"/>
        <w:ind w:left="0"/>
      </w:pPr>
      <w:r>
        <w:t>Solicitantul va asigura contribuția proprie la valoarea cheltuielilor eligibile, acoperirea cheltuielilor neeligibile ale proiectului, precum şi asigurarea altor sume necesare implementării proiectului.</w:t>
      </w:r>
    </w:p>
    <w:p w14:paraId="0F96B0CE" w14:textId="6C011A1A" w:rsidR="00A657B7" w:rsidRDefault="00245051">
      <w:pPr>
        <w:pStyle w:val="Heading2"/>
        <w:numPr>
          <w:ilvl w:val="1"/>
          <w:numId w:val="54"/>
        </w:numPr>
      </w:pPr>
      <w:bookmarkStart w:id="163" w:name="_Toc143499326"/>
      <w:bookmarkStart w:id="164" w:name="_Toc213405583"/>
      <w:r>
        <w:t>Durata proiectului</w:t>
      </w:r>
      <w:bookmarkEnd w:id="163"/>
      <w:bookmarkEnd w:id="164"/>
    </w:p>
    <w:p w14:paraId="23098A7B" w14:textId="77777777" w:rsidR="00A657B7" w:rsidRDefault="00A657B7">
      <w:pPr>
        <w:spacing w:before="0" w:after="0"/>
        <w:ind w:left="0"/>
      </w:pPr>
    </w:p>
    <w:p w14:paraId="5160E4EF" w14:textId="77777777" w:rsidR="00882FDF" w:rsidRDefault="00882FDF" w:rsidP="00882FDF">
      <w:pPr>
        <w:spacing w:before="0" w:after="0"/>
        <w:ind w:left="0"/>
      </w:pPr>
      <w:r>
        <w:t>Prezentul ghid încurajează implementarea accelerată a proiectelor finanțate, sens în care perioada de implementare a activităților este de 24 de luni de la data semnării contractului de finanțare. În cazuri temeinic justificate, perioada de implementare se poate prelungi succesiv (cu perioade de până la 6 luni) fără însă a depăși 31 decembrie 2029.</w:t>
      </w:r>
    </w:p>
    <w:p w14:paraId="0D3B76E0" w14:textId="77777777" w:rsidR="00882FDF" w:rsidRDefault="00882FDF" w:rsidP="00882FDF">
      <w:pPr>
        <w:spacing w:before="0" w:after="0"/>
        <w:ind w:left="0"/>
      </w:pPr>
      <w: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D4C1EE1" w14:textId="77777777" w:rsidR="00882FDF" w:rsidRDefault="00882FDF" w:rsidP="00882FDF">
      <w:pPr>
        <w:spacing w:before="0" w:after="0"/>
        <w:ind w:left="0"/>
      </w:pPr>
      <w:r>
        <w:t xml:space="preserve">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w:t>
      </w:r>
      <w:r>
        <w:lastRenderedPageBreak/>
        <w:t>angajarea și plata cheltuielilor  în condiţiile legii între 1 ianuarie 2021 şi 31 decembrie 2029, cu respectarea perioadei de implementare stabilite prin contractul de finanţare.</w:t>
      </w:r>
    </w:p>
    <w:p w14:paraId="5301953B" w14:textId="2C497DB9" w:rsidR="00A657B7" w:rsidRDefault="00882FDF" w:rsidP="00882FDF">
      <w:pPr>
        <w:spacing w:before="0" w:after="0"/>
        <w:ind w:left="0"/>
        <w:rPr>
          <w:color w:val="FF0000"/>
        </w:rPr>
      </w:pPr>
      <w:r>
        <w:t>În cadrul perioadei de implementare a proiectului nu se include perioada legată de procesarea cererii de rambursare finale și efectuarea plății aferente acesteia.</w:t>
      </w:r>
    </w:p>
    <w:p w14:paraId="7EC6D5DE" w14:textId="77777777" w:rsidR="00A657B7" w:rsidRDefault="00245051">
      <w:pPr>
        <w:pStyle w:val="Heading2"/>
        <w:numPr>
          <w:ilvl w:val="1"/>
          <w:numId w:val="54"/>
        </w:numPr>
      </w:pPr>
      <w:bookmarkStart w:id="165" w:name="_Toc143499327"/>
      <w:bookmarkStart w:id="166" w:name="_Toc213405584"/>
      <w:r>
        <w:t>Alte cerințe de eligibilitate a proiectului (NA)</w:t>
      </w:r>
      <w:bookmarkEnd w:id="165"/>
      <w:bookmarkEnd w:id="166"/>
    </w:p>
    <w:p w14:paraId="2F28C312" w14:textId="05979822" w:rsidR="002F7C59" w:rsidRDefault="002F7C59">
      <w:pPr>
        <w:pStyle w:val="ListParagraph"/>
        <w:numPr>
          <w:ilvl w:val="0"/>
          <w:numId w:val="40"/>
        </w:numPr>
      </w:pPr>
      <w:r w:rsidRPr="002F7C59">
        <w:t xml:space="preserve">Proiectul propus spre finanţare trebuie să nu fie încheiat în mod fizic sau implementat integral înainte de depunerea cererii de finanţare, indiferent dacă toate plăţile aferente au fost realizate sau nu de beneficiar  </w:t>
      </w:r>
    </w:p>
    <w:p w14:paraId="4D03822D" w14:textId="24ADF3D2" w:rsidR="002F7C59" w:rsidRDefault="002F7C59">
      <w:pPr>
        <w:pStyle w:val="ListParagraph"/>
        <w:numPr>
          <w:ilvl w:val="0"/>
          <w:numId w:val="40"/>
        </w:numPr>
      </w:pPr>
      <w:r w:rsidRPr="002F7C59">
        <w:t>Proiectul propus prin prezenta cerere nu a mai beneficiat de finanțare publică în ultimii 5 ani înainte de data depunerii cererii de finanţare şi nu beneficiază de fonduri publice din alte surse de finanţare pentru același tip de activități (cu excepția lucrărilor de întreținere și reparații) realizate asupra aceleiași infrastructuri/aceluiași segment/element de infrastructură, altele decât cele ale solicitantului</w:t>
      </w:r>
    </w:p>
    <w:p w14:paraId="5526D443" w14:textId="20EEB523" w:rsidR="002F7C59" w:rsidRDefault="002F7C59">
      <w:pPr>
        <w:pStyle w:val="ListParagraph"/>
        <w:numPr>
          <w:ilvl w:val="0"/>
          <w:numId w:val="40"/>
        </w:numPr>
      </w:pPr>
      <w:r w:rsidRPr="002F7C59">
        <w:t>Încadrarea valorii totale eligibile a cererii de finanţare în limitele valorilor minime și maxime pentru acest apel</w:t>
      </w:r>
    </w:p>
    <w:p w14:paraId="4088E2D2" w14:textId="3138484F" w:rsidR="002F7C59" w:rsidRDefault="002F7C59">
      <w:pPr>
        <w:pStyle w:val="ListParagraph"/>
        <w:numPr>
          <w:ilvl w:val="0"/>
          <w:numId w:val="40"/>
        </w:numPr>
      </w:pPr>
      <w:r w:rsidRPr="002F7C59">
        <w:t>Perioada de implementare a activităților proiectului nu depășește 31.12.2029</w:t>
      </w:r>
    </w:p>
    <w:p w14:paraId="1799AC54" w14:textId="77777777" w:rsidR="002F7C59" w:rsidRDefault="002F7C59">
      <w:pPr>
        <w:pStyle w:val="ListParagraph"/>
        <w:numPr>
          <w:ilvl w:val="0"/>
          <w:numId w:val="40"/>
        </w:numPr>
      </w:pPr>
      <w:r>
        <w:t>Activitatea de bază, declarată de beneficiar în cererea de finanțare, respectă următoarele condiții cumulative:</w:t>
      </w:r>
    </w:p>
    <w:p w14:paraId="7D74D2F3" w14:textId="77777777" w:rsidR="002F7C59" w:rsidRDefault="002F7C59">
      <w:pPr>
        <w:pStyle w:val="ListParagraph"/>
        <w:numPr>
          <w:ilvl w:val="0"/>
          <w:numId w:val="48"/>
        </w:numPr>
      </w:pPr>
      <w:r>
        <w:t>are legătură directă cu obiectul proiectului pentru care se acordă finanţarea şi contribuie în mod direct şi semnificativ la realizarea obiectivelor şi la obţinerea rezultatelor acestuia;</w:t>
      </w:r>
    </w:p>
    <w:p w14:paraId="05CDBC93" w14:textId="77777777" w:rsidR="002F7C59" w:rsidRDefault="002F7C59">
      <w:pPr>
        <w:pStyle w:val="ListParagraph"/>
        <w:numPr>
          <w:ilvl w:val="0"/>
          <w:numId w:val="48"/>
        </w:numPr>
      </w:pPr>
      <w:r>
        <w:t>se regăseşte în cererea de finanţare sub forma activităţilor eligibile obligatorii specificate în Acțiunea I. Dezvoltarea si optimizarea sistemelor de transport public din Ghidul solicitantului;</w:t>
      </w:r>
    </w:p>
    <w:p w14:paraId="40C81677" w14:textId="77777777" w:rsidR="002F7C59" w:rsidRDefault="002F7C59">
      <w:pPr>
        <w:pStyle w:val="ListParagraph"/>
        <w:numPr>
          <w:ilvl w:val="0"/>
          <w:numId w:val="48"/>
        </w:numPr>
      </w:pPr>
      <w:r>
        <w:t>nu face parte din activităţile conexe, aşa cum sunt acestea definite în Ghidul solicitantului;</w:t>
      </w:r>
    </w:p>
    <w:p w14:paraId="57129C82" w14:textId="77777777" w:rsidR="002F7C59" w:rsidRDefault="002F7C59">
      <w:pPr>
        <w:pStyle w:val="ListParagraph"/>
        <w:numPr>
          <w:ilvl w:val="0"/>
          <w:numId w:val="48"/>
        </w:numPr>
      </w:pPr>
      <w:r>
        <w:t>bugetul estimat alocat activităţii sau pachetului de activităţi reprezintă minimum 50 % din bugetul total eligibil al proiectului.</w:t>
      </w:r>
    </w:p>
    <w:p w14:paraId="36934D50" w14:textId="77777777" w:rsidR="0090541A" w:rsidRDefault="0090541A">
      <w:pPr>
        <w:pStyle w:val="ListParagraph"/>
        <w:numPr>
          <w:ilvl w:val="0"/>
          <w:numId w:val="40"/>
        </w:numPr>
      </w:pPr>
      <w:r w:rsidRPr="0090541A">
        <w:t>Proiectul nu include activități care fac în mod direct obiectul unui aviz motivat al Comisiei cu privire la o încălcare în temeiul art. 258 din TFUE care pune în pericol legalitatea și regularitatea cheltuielilor sau desfășurarea acestuia.</w:t>
      </w:r>
    </w:p>
    <w:p w14:paraId="4844E69D" w14:textId="2CBBAAC7" w:rsidR="002F7C59" w:rsidRDefault="002F7C59">
      <w:pPr>
        <w:pStyle w:val="ListParagraph"/>
        <w:numPr>
          <w:ilvl w:val="0"/>
          <w:numId w:val="40"/>
        </w:numPr>
      </w:pPr>
      <w:r w:rsidRPr="002F7C59">
        <w:t xml:space="preserve">Impactul proiectului asupra creșterii </w:t>
      </w:r>
      <w:r>
        <w:t xml:space="preserve">capacit[‚ilor instalate de producție din RES </w:t>
      </w:r>
    </w:p>
    <w:p w14:paraId="7CDB02B4" w14:textId="6DE5B734" w:rsidR="002F7C59" w:rsidRDefault="002F7C59">
      <w:pPr>
        <w:pStyle w:val="ListParagraph"/>
        <w:numPr>
          <w:ilvl w:val="0"/>
          <w:numId w:val="40"/>
        </w:numPr>
      </w:pPr>
      <w:r w:rsidRPr="002F7C59">
        <w:t>Respectarea principiilor privind dezvoltarea durabilă, accesibilitatea pentru persoanele cu dizabilități, egalitatea de şanse, de gen și nediscriminarea</w:t>
      </w:r>
    </w:p>
    <w:p w14:paraId="5461FE36" w14:textId="77777777" w:rsidR="00DA7B9E" w:rsidRDefault="00DA7B9E" w:rsidP="00DA7B9E">
      <w:pPr>
        <w:pStyle w:val="ListParagraph"/>
      </w:pPr>
    </w:p>
    <w:p w14:paraId="7ABBB5E0" w14:textId="5D401394" w:rsidR="002F7C59" w:rsidRPr="00DA7B9E" w:rsidRDefault="002F7C59">
      <w:pPr>
        <w:pStyle w:val="ListParagraph"/>
        <w:numPr>
          <w:ilvl w:val="0"/>
          <w:numId w:val="40"/>
        </w:numPr>
        <w:rPr>
          <w:b/>
          <w:bCs/>
          <w:i/>
          <w:iCs/>
          <w:color w:val="1C6194" w:themeColor="accent6" w:themeShade="BF"/>
        </w:rPr>
      </w:pPr>
      <w:r w:rsidRPr="00DA7B9E">
        <w:rPr>
          <w:b/>
          <w:bCs/>
          <w:i/>
          <w:iCs/>
          <w:color w:val="1C6194" w:themeColor="accent6" w:themeShade="BF"/>
        </w:rPr>
        <w:t>Proiectul respectă principiul DNSH</w:t>
      </w:r>
    </w:p>
    <w:p w14:paraId="403AEFE8" w14:textId="77777777" w:rsidR="002F7C59" w:rsidRDefault="002F7C59" w:rsidP="002F7C59">
      <w:pPr>
        <w:pStyle w:val="ListParagraph"/>
      </w:pPr>
      <w:r>
        <w:t>În linie cu RDC, proiectele sprijinite trebuie să cuprindă activități care respectă standardele și prioritățile Uniunii în materie de climă și mediu și care nu prejudiciază în mod semnificativ obiectivele de mediu în sensul articolului 17 din Regulamentul (UE) 2020/852 al Parlamentului European și al Consiliului,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6081D0D6" w14:textId="30125DCA" w:rsidR="002F7C59" w:rsidRDefault="002F7C59" w:rsidP="002F7C59">
      <w:pPr>
        <w:pStyle w:val="ListParagraph"/>
      </w:pPr>
      <w:r>
        <w:t>Respectarea principiului DNSH în cadrul proiectelor ce vor fi finanțate se verifică în etapa de selecție  prin introducerea unui criteriu de eligibilitate a proiectului și activităților, criteriu care va fi probat și evaluat în evaluarea tehnică și financiară de către un evaluator care deține expertiză de specialitate în domeniul mediului.</w:t>
      </w:r>
    </w:p>
    <w:p w14:paraId="29804EF8" w14:textId="77777777" w:rsidR="00DA7B9E" w:rsidRDefault="00DA7B9E" w:rsidP="002F7C59">
      <w:pPr>
        <w:pStyle w:val="ListParagraph"/>
      </w:pPr>
    </w:p>
    <w:p w14:paraId="25B1C32B" w14:textId="77777777" w:rsidR="002F7C59" w:rsidRPr="00DA7B9E" w:rsidRDefault="002F7C59">
      <w:pPr>
        <w:pStyle w:val="ListParagraph"/>
        <w:numPr>
          <w:ilvl w:val="0"/>
          <w:numId w:val="40"/>
        </w:numPr>
        <w:rPr>
          <w:b/>
          <w:bCs/>
          <w:i/>
          <w:iCs/>
          <w:color w:val="1C6194" w:themeColor="accent6" w:themeShade="BF"/>
        </w:rPr>
      </w:pPr>
      <w:r w:rsidRPr="00DA7B9E">
        <w:rPr>
          <w:b/>
          <w:bCs/>
          <w:i/>
          <w:iCs/>
          <w:color w:val="1C6194" w:themeColor="accent6" w:themeShade="BF"/>
        </w:rPr>
        <w:t>Proiectul asigură imunizarea la schimbările climatice</w:t>
      </w:r>
    </w:p>
    <w:p w14:paraId="2F9915E0" w14:textId="77777777" w:rsidR="002F7C59" w:rsidRDefault="002F7C59">
      <w:pPr>
        <w:pStyle w:val="ListParagraph"/>
        <w:numPr>
          <w:ilvl w:val="0"/>
          <w:numId w:val="49"/>
        </w:numPr>
      </w:pPr>
      <w: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w:t>
      </w:r>
    </w:p>
    <w:p w14:paraId="1EE8F045" w14:textId="77777777" w:rsidR="002F7C59" w:rsidRDefault="002F7C59">
      <w:pPr>
        <w:pStyle w:val="ListParagraph"/>
        <w:numPr>
          <w:ilvl w:val="0"/>
          <w:numId w:val="49"/>
        </w:numPr>
      </w:pPr>
      <w:r>
        <w:lastRenderedPageBreak/>
        <w:t>Imunizarea la schimbările climatice este un proces care integrează măsurile de atenuare a schimbărilor climatice și măsurile de adaptare la schimbările climatice în dezvoltarea proiectelor de infrastructură. Aceasta presupune:</w:t>
      </w:r>
    </w:p>
    <w:p w14:paraId="69563BE3" w14:textId="77777777" w:rsidR="002F7C59" w:rsidRDefault="002F7C59">
      <w:pPr>
        <w:pStyle w:val="ListParagraph"/>
        <w:numPr>
          <w:ilvl w:val="0"/>
          <w:numId w:val="49"/>
        </w:numPr>
      </w:pPr>
      <w:r>
        <w:t>In etapa analizei de opțiuni - integrarea in analiza si decizia asupra opțiunii preferate (pe lângă considerentele tehnice, economice, de mediu, etc.) si a considerentele legate de impactul opțiunilor din punctul de vedere al (i) atenuării si (ii) vulnerabilității fata de schimbările climatice;</w:t>
      </w:r>
    </w:p>
    <w:p w14:paraId="2C4475D7" w14:textId="77777777" w:rsidR="002F7C59" w:rsidRDefault="002F7C59">
      <w:pPr>
        <w:pStyle w:val="ListParagraph"/>
        <w:numPr>
          <w:ilvl w:val="0"/>
          <w:numId w:val="49"/>
        </w:numPr>
      </w:pPr>
      <w:r>
        <w:t xml:space="preserve">In etapa detalierii/proiectării opțiunii preferate – integrarea masurilor adecvate pentru (i) atenuarea si (ii) adaptarea (in măsura in care este necesara) la schimbările climatice. </w:t>
      </w:r>
    </w:p>
    <w:p w14:paraId="5969950B" w14:textId="77777777" w:rsidR="002F7C59" w:rsidRDefault="002F7C59">
      <w:pPr>
        <w:pStyle w:val="ListParagraph"/>
        <w:numPr>
          <w:ilvl w:val="0"/>
          <w:numId w:val="49"/>
        </w:numPr>
      </w:pPr>
      <w:r>
        <w:t xml:space="preserve">Prin urmare aceste aspecte vor fi integrate în Studiul de Fezabilitate, precum și în acordul/avizul de mediu (dacă este cazul) și autorizațiile de construcție (dacă este cazul). </w:t>
      </w:r>
    </w:p>
    <w:p w14:paraId="115AE629" w14:textId="5729BD1C" w:rsidR="002F7C59" w:rsidRPr="002F7C59" w:rsidRDefault="00B2700E">
      <w:pPr>
        <w:pStyle w:val="ListParagraph"/>
        <w:numPr>
          <w:ilvl w:val="0"/>
          <w:numId w:val="40"/>
        </w:numPr>
      </w:pPr>
      <w:r w:rsidRPr="00B2700E">
        <w:t>Proiectul se încadrează în documentele strategice relevante</w:t>
      </w:r>
    </w:p>
    <w:p w14:paraId="2D07A9E6" w14:textId="77777777" w:rsidR="00A657B7" w:rsidRDefault="00245051">
      <w:pPr>
        <w:pStyle w:val="Heading1"/>
        <w:numPr>
          <w:ilvl w:val="0"/>
          <w:numId w:val="54"/>
        </w:numPr>
      </w:pPr>
      <w:bookmarkStart w:id="167" w:name="_Toc143499328"/>
      <w:bookmarkStart w:id="168" w:name="_Toc213405585"/>
      <w:r>
        <w:t>INDICATORI DE ETAPĂ</w:t>
      </w:r>
      <w:bookmarkEnd w:id="167"/>
      <w:bookmarkEnd w:id="168"/>
    </w:p>
    <w:p w14:paraId="1A0DA6F6" w14:textId="77777777" w:rsidR="00A657B7" w:rsidRDefault="00245051">
      <w:pPr>
        <w:ind w:left="0"/>
      </w:pPr>
      <w: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18CAED02" w14:textId="77777777" w:rsidR="00A657B7" w:rsidRDefault="00245051">
      <w:pPr>
        <w:ind w:left="0"/>
      </w:pPr>
      <w: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Pr>
          <w:b/>
          <w:bCs/>
        </w:rPr>
        <w:t>secțiunea 8.9.3 la prezentul ghid.</w:t>
      </w:r>
      <w:r>
        <w:t xml:space="preserve"> </w:t>
      </w:r>
    </w:p>
    <w:p w14:paraId="3BF31DB3" w14:textId="77777777" w:rsidR="00A657B7" w:rsidRDefault="00245051">
      <w:pPr>
        <w:ind w:left="0"/>
      </w:pPr>
      <w:r>
        <w:t>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w:t>
      </w:r>
    </w:p>
    <w:p w14:paraId="78C729CD" w14:textId="77777777" w:rsidR="00A657B7" w:rsidRDefault="00245051">
      <w:pPr>
        <w:ind w:left="0"/>
      </w:pPr>
      <w:r>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B9B8C25" w14:textId="77777777" w:rsidR="00A657B7" w:rsidRDefault="00245051">
      <w:pPr>
        <w:pStyle w:val="Heading1"/>
        <w:numPr>
          <w:ilvl w:val="0"/>
          <w:numId w:val="54"/>
        </w:numPr>
      </w:pPr>
      <w:bookmarkStart w:id="169" w:name="_Toc143499329"/>
      <w:bookmarkStart w:id="170" w:name="_Toc213405586"/>
      <w:r>
        <w:t>COMPLETAREA ȘI DEPUNEREA CERERILOR DE FINANȚARE</w:t>
      </w:r>
      <w:bookmarkEnd w:id="169"/>
      <w:bookmarkEnd w:id="170"/>
      <w:r>
        <w:t xml:space="preserve"> </w:t>
      </w:r>
    </w:p>
    <w:p w14:paraId="695C25DB" w14:textId="77777777" w:rsidR="00A657B7" w:rsidRDefault="00245051">
      <w:pPr>
        <w:pStyle w:val="Heading2"/>
      </w:pPr>
      <w:bookmarkStart w:id="171" w:name="_Toc143499330"/>
      <w:bookmarkStart w:id="172" w:name="_Toc213405587"/>
      <w:r>
        <w:t>7.1 Completarea formularului cererii</w:t>
      </w:r>
      <w:bookmarkEnd w:id="171"/>
      <w:bookmarkEnd w:id="172"/>
    </w:p>
    <w:p w14:paraId="0F25282A" w14:textId="77777777" w:rsidR="00A657B7" w:rsidRDefault="00245051">
      <w:pPr>
        <w:spacing w:before="0" w:after="0"/>
        <w:ind w:left="0"/>
      </w:pPr>
      <w:sdt>
        <w:sdtPr>
          <w:tag w:val="goog_rdk_170"/>
          <w:id w:val="1995062152"/>
        </w:sdtPr>
        <w:sdtEndPr/>
        <w:sdtContent>
          <w:r>
            <w:t xml:space="preserve">     </w:t>
          </w:r>
        </w:sdtContent>
      </w:sdt>
      <w:r>
        <w:t>Formatul cererii de finanțare MySMIS2021/SMIS2021+ cuprinde toate informațiile necesare pentru completarea corectă și completă a aplicației. Secțiunile cererii de finanțare se completează exclusiv în aplicația electronică MySMIS2021/SMIS2021+.</w:t>
      </w:r>
    </w:p>
    <w:p w14:paraId="1F82926D" w14:textId="77777777" w:rsidR="00A657B7" w:rsidRDefault="00A657B7">
      <w:pPr>
        <w:spacing w:before="0" w:after="0"/>
        <w:ind w:left="0"/>
        <w:rPr>
          <w:color w:val="FF0000"/>
        </w:rPr>
      </w:pPr>
    </w:p>
    <w:p w14:paraId="6F3817CB" w14:textId="77777777" w:rsidR="00A657B7" w:rsidRDefault="00245051">
      <w:pPr>
        <w:spacing w:before="0" w:after="0"/>
        <w:ind w:left="0"/>
      </w:pPr>
      <w:r>
        <w:t>Cererea de finanțare este compusă din:</w:t>
      </w:r>
    </w:p>
    <w:p w14:paraId="55F5A96D" w14:textId="77777777" w:rsidR="00A657B7" w:rsidRDefault="00245051">
      <w:pPr>
        <w:numPr>
          <w:ilvl w:val="0"/>
          <w:numId w:val="13"/>
        </w:numPr>
        <w:spacing w:before="0" w:after="0"/>
      </w:pPr>
      <w:r>
        <w:t>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Anexa ”Instrucțiuni de completare a cererii de finanțare în MySMIS” la acest ghid.</w:t>
      </w:r>
    </w:p>
    <w:p w14:paraId="4C719CFA" w14:textId="77777777" w:rsidR="00A657B7" w:rsidRDefault="00245051">
      <w:pPr>
        <w:numPr>
          <w:ilvl w:val="0"/>
          <w:numId w:val="13"/>
        </w:numPr>
        <w:spacing w:before="0" w:after="0"/>
      </w:pPr>
      <w:r>
        <w:t>Anexele la formularul cererii de finanțare. Toate aceste documente vor fi încărcate în aplicația MySMIS2021, în format PDF, după ce au fost semnate digital</w:t>
      </w:r>
    </w:p>
    <w:p w14:paraId="3DA00F9E" w14:textId="77777777" w:rsidR="00A657B7" w:rsidRDefault="00A657B7">
      <w:pPr>
        <w:spacing w:before="0" w:after="0"/>
        <w:ind w:left="0"/>
        <w:rPr>
          <w:color w:val="FF0000"/>
        </w:rPr>
      </w:pPr>
    </w:p>
    <w:p w14:paraId="4083F059" w14:textId="77777777" w:rsidR="00A657B7" w:rsidRDefault="00245051">
      <w:pPr>
        <w:spacing w:before="0" w:after="0"/>
        <w:ind w:left="0"/>
      </w:pPr>
      <w:r>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w:t>
      </w:r>
      <w:r>
        <w:lastRenderedPageBreak/>
        <w:t xml:space="preserve">simplificare și digitalizare pentru gestionarea fondurilor europene aferente Politicii de coeziune 2021—2027 și care reprezintă </w:t>
      </w:r>
      <w:sdt>
        <w:sdtPr>
          <w:tag w:val="goog_rdk_171"/>
          <w:id w:val="-735468599"/>
        </w:sdtPr>
        <w:sdtEndPr/>
        <w:sdtContent>
          <w:r>
            <w:t>Your text here</w:t>
          </w:r>
        </w:sdtContent>
      </w:sdt>
      <w:r>
        <w:t>Anexa 14.6 la prezentul ghid, fiind personalizat pe tipul de proiecte ce urmează a fi depuse în cadrul apelurilor lansate prin prezentul ghid.</w:t>
      </w:r>
    </w:p>
    <w:p w14:paraId="20A858E8" w14:textId="77777777" w:rsidR="00A657B7" w:rsidRDefault="00A657B7">
      <w:pPr>
        <w:spacing w:before="0" w:after="0"/>
        <w:ind w:left="0"/>
      </w:pPr>
    </w:p>
    <w:p w14:paraId="75677633" w14:textId="77777777" w:rsidR="00A657B7" w:rsidRDefault="00245051">
      <w:pPr>
        <w:spacing w:before="0" w:after="0"/>
        <w:ind w:left="0"/>
      </w:pPr>
      <w:r>
        <w:t>Certificarea aplicației va fi semnată numai de către reprezentantul legal al solicitantului cu semnătură electronică extinsă, certificată în conformitate cu prevederile legale în vigoare.</w:t>
      </w:r>
    </w:p>
    <w:p w14:paraId="1D2E6C07" w14:textId="77777777" w:rsidR="00A657B7" w:rsidRDefault="00A657B7">
      <w:pPr>
        <w:spacing w:before="0" w:after="0"/>
        <w:ind w:left="0"/>
        <w:rPr>
          <w:color w:val="FF0000"/>
        </w:rPr>
      </w:pPr>
    </w:p>
    <w:p w14:paraId="18F318CB" w14:textId="77777777" w:rsidR="00A657B7" w:rsidRDefault="00245051">
      <w:pPr>
        <w:spacing w:before="0" w:after="0"/>
        <w:ind w:left="0"/>
      </w:pPr>
      <w:r>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w:t>
      </w:r>
      <w:r>
        <w:t>te în formatul care respectă cerințele de formă și conținut prevăzute în legislația națională și europeană, în situația în care pentru aceste documente este reglementat un format sau conținut standard.</w:t>
      </w:r>
    </w:p>
    <w:p w14:paraId="410AEBD4" w14:textId="77777777" w:rsidR="00A657B7" w:rsidRDefault="00A657B7">
      <w:pPr>
        <w:spacing w:before="0" w:after="0"/>
        <w:ind w:left="0"/>
        <w:rPr>
          <w:color w:val="FF0000"/>
        </w:rPr>
      </w:pPr>
    </w:p>
    <w:p w14:paraId="5B05F3D0" w14:textId="77777777" w:rsidR="00A657B7" w:rsidRDefault="00245051">
      <w:pPr>
        <w:spacing w:before="0" w:after="0"/>
        <w:ind w:left="0"/>
      </w:pPr>
      <w: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w:t>
      </w:r>
      <w:r>
        <w:t>l de achiziții, bugetul proiectului, indicatorii de realizare și de rezultat, precum și orice alte elemente necesare, prevăzute de prezentul ghid și care sunt cuprinse în sistemul informatic MySMIS2021/SMIS2021+.</w:t>
      </w:r>
    </w:p>
    <w:p w14:paraId="0E675D90" w14:textId="77777777" w:rsidR="00A657B7" w:rsidRDefault="00A657B7">
      <w:pPr>
        <w:spacing w:before="0" w:after="0"/>
        <w:ind w:left="0"/>
      </w:pPr>
    </w:p>
    <w:p w14:paraId="2E7D1F7A" w14:textId="77777777" w:rsidR="00A657B7" w:rsidRDefault="00245051">
      <w:pPr>
        <w:spacing w:before="0" w:after="0"/>
        <w:ind w:left="0"/>
      </w:pPr>
      <w:r>
        <w:t>Completarea corectă și completă a tuturor secțiunilor din cererea de finanțare, precum și anexarea tuturor documentelor solicitate este primul pas în menținerea cererii de finanțare în procesul de verificare, evaluare și selecție.</w:t>
      </w:r>
    </w:p>
    <w:p w14:paraId="112D4DB6" w14:textId="77777777" w:rsidR="00A657B7" w:rsidRDefault="00A657B7">
      <w:pPr>
        <w:spacing w:before="0" w:after="0"/>
        <w:ind w:left="0"/>
        <w:rPr>
          <w:color w:val="FF0000"/>
        </w:rPr>
      </w:pPr>
    </w:p>
    <w:p w14:paraId="120AF00C" w14:textId="77777777" w:rsidR="00A657B7" w:rsidRDefault="00245051">
      <w:pPr>
        <w:spacing w:before="0" w:after="0"/>
        <w:ind w:left="0"/>
      </w:pPr>
      <w: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w:t>
      </w:r>
    </w:p>
    <w:p w14:paraId="48A7C74A" w14:textId="77777777" w:rsidR="00A657B7" w:rsidRDefault="00A657B7">
      <w:pPr>
        <w:spacing w:before="0" w:after="0"/>
        <w:ind w:left="0"/>
      </w:pPr>
    </w:p>
    <w:p w14:paraId="67952DEF" w14:textId="77777777" w:rsidR="00A657B7" w:rsidRDefault="00245051">
      <w:pPr>
        <w:spacing w:before="0" w:after="0"/>
        <w:ind w:left="0"/>
      </w:pPr>
      <w: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11011AC" w14:textId="77777777" w:rsidR="00A657B7" w:rsidRDefault="00A657B7">
      <w:pPr>
        <w:spacing w:before="0" w:after="0"/>
        <w:ind w:left="0"/>
        <w:rPr>
          <w:color w:val="FF0000"/>
        </w:rPr>
      </w:pPr>
    </w:p>
    <w:p w14:paraId="4082EA3F" w14:textId="77777777" w:rsidR="00A657B7" w:rsidRDefault="00245051">
      <w:pPr>
        <w:spacing w:before="0" w:after="0"/>
        <w:ind w:left="0"/>
      </w:pPr>
      <w:r>
        <w:t>Pentru unele din anexele la cererea de finanțare, acest ghid conține modele standard (ex. declarația unică).</w:t>
      </w:r>
    </w:p>
    <w:p w14:paraId="796148E7" w14:textId="77777777" w:rsidR="00A657B7" w:rsidRDefault="00245051">
      <w:pPr>
        <w:spacing w:before="0" w:after="0"/>
        <w:ind w:left="0"/>
      </w:pPr>
      <w:r>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2436B3D7" w14:textId="77777777" w:rsidR="00A657B7" w:rsidRDefault="00A657B7">
      <w:pPr>
        <w:spacing w:before="0" w:after="0"/>
        <w:ind w:left="0"/>
      </w:pPr>
    </w:p>
    <w:p w14:paraId="619E0490" w14:textId="77777777" w:rsidR="00A657B7" w:rsidRDefault="00245051">
      <w:pPr>
        <w:spacing w:before="0" w:after="0"/>
        <w:ind w:left="0"/>
      </w:pPr>
      <w:r>
        <w:t>Completarea Cererii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0621F0C4" w14:textId="77777777" w:rsidR="00A657B7" w:rsidRDefault="00245051">
      <w:pPr>
        <w:pStyle w:val="Heading2"/>
      </w:pPr>
      <w:bookmarkStart w:id="173" w:name="_Toc143499331"/>
      <w:bookmarkStart w:id="174" w:name="_Toc213405588"/>
      <w:r>
        <w:t>7.2 Limba utilizată în completarea cererii de finanțare</w:t>
      </w:r>
      <w:bookmarkEnd w:id="173"/>
      <w:bookmarkEnd w:id="174"/>
    </w:p>
    <w:p w14:paraId="5F1E4A9F" w14:textId="77777777" w:rsidR="00A657B7" w:rsidRDefault="00245051">
      <w:pPr>
        <w:ind w:left="0"/>
      </w:pPr>
      <w:r>
        <w:t>Cererea de finanțare trebuie să fie întocmită în limba română. Documentele redactate în altă limbă vor fi însoțite, în mod obligatoriu de traducere legalizată sau autorizată.</w:t>
      </w:r>
    </w:p>
    <w:p w14:paraId="2821912D" w14:textId="77777777" w:rsidR="00A657B7" w:rsidRDefault="00245051">
      <w:pPr>
        <w:ind w:left="0"/>
      </w:pPr>
      <w:r>
        <w:lastRenderedPageBreak/>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2ACB35E7" w14:textId="77777777" w:rsidR="00A657B7" w:rsidRDefault="00245051">
      <w:pPr>
        <w:pStyle w:val="Heading2"/>
      </w:pPr>
      <w:bookmarkStart w:id="175" w:name="_Toc143499332"/>
      <w:bookmarkStart w:id="176" w:name="_Toc213405589"/>
      <w:r>
        <w:t>7.3 Metodologia de justificare și detaliere a bugetului cererii de finanțare</w:t>
      </w:r>
      <w:bookmarkEnd w:id="175"/>
      <w:bookmarkEnd w:id="176"/>
    </w:p>
    <w:p w14:paraId="50DFAE7E" w14:textId="77777777" w:rsidR="00A657B7" w:rsidRDefault="00A657B7">
      <w:pPr>
        <w:spacing w:before="0" w:after="0"/>
        <w:ind w:left="0"/>
      </w:pPr>
    </w:p>
    <w:p w14:paraId="3035EDDE" w14:textId="77777777" w:rsidR="00A657B7" w:rsidRDefault="00245051">
      <w:pPr>
        <w:spacing w:before="0" w:after="0"/>
        <w:ind w:left="0"/>
      </w:pPr>
      <w:r>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1FF32C2D" w14:textId="77777777" w:rsidR="00A657B7" w:rsidRDefault="00A657B7">
      <w:pPr>
        <w:spacing w:before="0" w:after="0"/>
        <w:ind w:left="0"/>
      </w:pPr>
    </w:p>
    <w:p w14:paraId="4EF27B9C" w14:textId="77777777" w:rsidR="00A657B7" w:rsidRDefault="00245051">
      <w:pPr>
        <w:spacing w:before="0" w:after="0"/>
        <w:ind w:left="0"/>
      </w:pPr>
      <w:r>
        <w:t>Completarea bugetului cererii de finanțare se va face conform prevederilor prezentului ghid, inclusiv a anexelor la acesta.</w:t>
      </w:r>
    </w:p>
    <w:p w14:paraId="477CF187" w14:textId="77777777" w:rsidR="00A657B7" w:rsidRDefault="00A657B7">
      <w:pPr>
        <w:spacing w:before="0" w:after="0"/>
        <w:ind w:left="0"/>
      </w:pPr>
    </w:p>
    <w:p w14:paraId="1F4AAA6D" w14:textId="77777777" w:rsidR="00A657B7" w:rsidRDefault="00245051">
      <w:pPr>
        <w:spacing w:before="0" w:after="0"/>
        <w:ind w:left="0"/>
      </w:pPr>
      <w:r>
        <w:t>Corectitudinea, coerența documentelor și informațiilor financiare, precum și justificarea acestora este esențială în procesul de evaluare și selecție.</w:t>
      </w:r>
    </w:p>
    <w:p w14:paraId="0E78DE09" w14:textId="77777777" w:rsidR="00A657B7" w:rsidRDefault="00A657B7">
      <w:pPr>
        <w:spacing w:before="0" w:after="0"/>
        <w:ind w:left="0"/>
      </w:pPr>
    </w:p>
    <w:p w14:paraId="4DEAA8DB" w14:textId="77777777" w:rsidR="00A657B7" w:rsidRDefault="00245051">
      <w:pPr>
        <w:spacing w:before="0" w:after="0"/>
        <w:ind w:left="0"/>
      </w:pPr>
      <w: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3E5CAC21" w14:textId="77777777" w:rsidR="00A657B7" w:rsidRDefault="00A657B7">
      <w:pPr>
        <w:spacing w:before="0" w:after="0"/>
        <w:ind w:left="0"/>
      </w:pPr>
    </w:p>
    <w:p w14:paraId="04444E46" w14:textId="77777777" w:rsidR="00A657B7" w:rsidRDefault="00245051">
      <w:pPr>
        <w:spacing w:before="0" w:after="0"/>
        <w:ind w:left="0"/>
      </w:pPr>
      <w:r>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B7B9691" w14:textId="77777777" w:rsidR="00A657B7" w:rsidRDefault="00A657B7">
      <w:pPr>
        <w:spacing w:before="0" w:after="0"/>
        <w:ind w:left="0"/>
      </w:pPr>
    </w:p>
    <w:p w14:paraId="5F4C08EC" w14:textId="70EC733C" w:rsidR="00A657B7" w:rsidRDefault="00245051">
      <w:pPr>
        <w:spacing w:before="0" w:after="0"/>
        <w:ind w:left="0"/>
      </w:pPr>
      <w:r>
        <w:t xml:space="preserve">Bugetul proiectului este cuprins în cererea de finanțare și are conținutul minim prezentat în </w:t>
      </w:r>
      <w:r w:rsidR="00047BDB" w:rsidRPr="00047BDB">
        <w:rPr>
          <w:bCs/>
        </w:rPr>
        <w:t>macheta pentru estimarea necesarului de finanțare</w:t>
      </w:r>
      <w:r w:rsidRPr="00047BDB">
        <w:rPr>
          <w:bCs/>
          <w:color w:val="FF0000"/>
        </w:rPr>
        <w:t xml:space="preserve"> </w:t>
      </w:r>
      <w:r w:rsidRPr="00047BDB">
        <w:rPr>
          <w:bCs/>
        </w:rPr>
        <w:t>la prezentul ghid</w:t>
      </w:r>
      <w:r>
        <w:t xml:space="preserve"> și se generează în cadrul aplicației MySMIS2021/SMIS2021.  </w:t>
      </w:r>
    </w:p>
    <w:p w14:paraId="02FF342F" w14:textId="77777777" w:rsidR="00A657B7" w:rsidRDefault="00A657B7">
      <w:pPr>
        <w:spacing w:before="0" w:after="0"/>
        <w:ind w:left="0"/>
      </w:pPr>
    </w:p>
    <w:p w14:paraId="12273EF1"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 În cazul proiectelor care vizează lucrări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vor fi însoțite și de o notă justificativă a solicitantului cu privire la rezonabilitatea costurilor.</w:t>
      </w:r>
    </w:p>
    <w:p w14:paraId="06A66A83"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p>
    <w:p w14:paraId="3950D797"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În plus, se va lua în calcul contribuţia proprie a solicitantului la realizarea proiectului, care reprezintă diferența dintre valoarea totală a proiectului şi valoarea finanțării nerambursabile/rambursabile acordate.</w:t>
      </w:r>
    </w:p>
    <w:p w14:paraId="6D6B97F1"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p>
    <w:p w14:paraId="53B0DB75" w14:textId="77777777" w:rsidR="00882FDF" w:rsidRPr="00882FDF" w:rsidRDefault="00882FDF" w:rsidP="00882FDF">
      <w:pPr>
        <w:pBdr>
          <w:top w:val="none" w:sz="0" w:space="0" w:color="auto"/>
          <w:left w:val="none" w:sz="0" w:space="0" w:color="auto"/>
          <w:bottom w:val="none" w:sz="0" w:space="0" w:color="auto"/>
          <w:right w:val="none" w:sz="0" w:space="0" w:color="auto"/>
          <w:between w:val="none" w:sz="0" w:space="0" w:color="auto"/>
        </w:pBdr>
        <w:spacing w:before="0" w:after="0"/>
        <w:ind w:left="0"/>
      </w:pPr>
      <w:r w:rsidRPr="00882FDF">
        <w:t>Solicitantul se angajează, prin declarația unică, sa asigure necesarul de cofinanțare proprie, precum și necesarul de finanțare pentru acoperirea cheltuielilor neeligibile. Contribuția proprie totală a solicitantului poate proveni din surse proprii, credite bancare, orice altă sursă cu mențiunea că nu trebuie să facă obiectul unui ajutor de stat/minimis.</w:t>
      </w:r>
    </w:p>
    <w:p w14:paraId="13CCA36D" w14:textId="77777777" w:rsidR="00A657B7" w:rsidRDefault="00A657B7">
      <w:pPr>
        <w:rPr>
          <w:color w:val="FF0000"/>
        </w:rPr>
      </w:pPr>
    </w:p>
    <w:p w14:paraId="2CA64386" w14:textId="77777777" w:rsidR="00A657B7" w:rsidRDefault="00245051">
      <w:pPr>
        <w:pStyle w:val="Heading2"/>
      </w:pPr>
      <w:bookmarkStart w:id="177" w:name="_Toc143499333"/>
      <w:bookmarkStart w:id="178" w:name="_Toc213405590"/>
      <w:r w:rsidRPr="00B2700E">
        <w:lastRenderedPageBreak/>
        <w:t>7.4 Anexe și documente obligatorii la depunerea cererii</w:t>
      </w:r>
      <w:bookmarkEnd w:id="177"/>
      <w:bookmarkEnd w:id="178"/>
      <w:r>
        <w:t xml:space="preserve"> </w:t>
      </w:r>
      <w:r>
        <w:tab/>
      </w:r>
    </w:p>
    <w:p w14:paraId="017924A1" w14:textId="77777777" w:rsidR="00A657B7" w:rsidRDefault="00A657B7">
      <w:pPr>
        <w:spacing w:before="0" w:after="0"/>
        <w:ind w:left="0"/>
      </w:pPr>
    </w:p>
    <w:p w14:paraId="1F7EE9C4" w14:textId="77777777" w:rsidR="00A657B7" w:rsidRDefault="00245051">
      <w:pPr>
        <w:spacing w:before="0" w:after="0"/>
        <w:ind w:left="0"/>
      </w:pPr>
      <w:r>
        <w:t>La depunerea cererii de finanțare se vor anexa doar documentele justificative, documente suport și anexele obligatorii specificate în cadrul prezentei secțiuni, necesare pentru etapa de evaluare tehnico-financiară a proiectului.</w:t>
      </w:r>
    </w:p>
    <w:p w14:paraId="62DABD4C" w14:textId="77777777" w:rsidR="00A657B7" w:rsidRDefault="00A657B7">
      <w:pPr>
        <w:spacing w:before="0" w:after="0"/>
        <w:ind w:left="0"/>
        <w:rPr>
          <w:color w:val="FF0000"/>
        </w:rPr>
      </w:pPr>
    </w:p>
    <w:p w14:paraId="7C9D01AE" w14:textId="77777777" w:rsidR="00A657B7" w:rsidRDefault="00A657B7">
      <w:pPr>
        <w:spacing w:before="0" w:after="0"/>
        <w:ind w:left="0"/>
        <w:rPr>
          <w:color w:val="FF0000"/>
        </w:rPr>
      </w:pPr>
    </w:p>
    <w:tbl>
      <w:tblPr>
        <w:tblStyle w:val="GridTable4-Accent1"/>
        <w:tblW w:w="9728" w:type="dxa"/>
        <w:tblLayout w:type="fixed"/>
        <w:tblLook w:val="04A0" w:firstRow="1" w:lastRow="0" w:firstColumn="1" w:lastColumn="0" w:noHBand="0" w:noVBand="1"/>
      </w:tblPr>
      <w:tblGrid>
        <w:gridCol w:w="9728"/>
      </w:tblGrid>
      <w:tr w:rsidR="00A657B7" w14:paraId="46F22F5C" w14:textId="77777777" w:rsidTr="00A657B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tcBorders>
              <w:top w:val="single" w:sz="4" w:space="0" w:color="3494BA"/>
              <w:left w:val="single" w:sz="4" w:space="0" w:color="3494BA"/>
              <w:bottom w:val="single" w:sz="4" w:space="0" w:color="3494BA"/>
              <w:right w:val="single" w:sz="4" w:space="0" w:color="3494BA"/>
            </w:tcBorders>
          </w:tcPr>
          <w:p w14:paraId="2E567C7A" w14:textId="77777777" w:rsidR="00A657B7" w:rsidRDefault="00245051">
            <w:pPr>
              <w:widowControl w:val="0"/>
              <w:spacing w:after="0"/>
              <w:rPr>
                <w:color w:val="FF0000"/>
              </w:rPr>
            </w:pPr>
            <w:r>
              <w:rPr>
                <w:color w:val="FFFFFF"/>
              </w:rPr>
              <w:t>Documente solicitate la depunerea cererii de finanțare</w:t>
            </w:r>
          </w:p>
        </w:tc>
      </w:tr>
      <w:tr w:rsidR="00A657B7" w14:paraId="66267A45" w14:textId="77777777" w:rsidTr="00A657B7">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tcPr>
          <w:p w14:paraId="71EF2269" w14:textId="77777777" w:rsidR="00B2700E" w:rsidRPr="00B2700E" w:rsidRDefault="00B2700E">
            <w:pPr>
              <w:numPr>
                <w:ilvl w:val="3"/>
                <w:numId w:val="50"/>
              </w:numPr>
              <w:pBdr>
                <w:top w:val="none" w:sz="0" w:space="0" w:color="auto"/>
                <w:left w:val="none" w:sz="0" w:space="0" w:color="auto"/>
                <w:bottom w:val="none" w:sz="0" w:space="0" w:color="auto"/>
                <w:right w:val="none" w:sz="0" w:space="0" w:color="auto"/>
                <w:between w:val="none" w:sz="0" w:space="0" w:color="auto"/>
              </w:pBdr>
              <w:spacing w:before="0" w:after="0"/>
              <w:ind w:left="247" w:hanging="180"/>
              <w:contextualSpacing/>
              <w:rPr>
                <w:b w:val="0"/>
                <w:bCs w:val="0"/>
                <w:iCs/>
              </w:rPr>
            </w:pPr>
            <w:bookmarkStart w:id="179" w:name="_Hlk142196988"/>
            <w:bookmarkEnd w:id="179"/>
            <w:r w:rsidRPr="00B2700E">
              <w:rPr>
                <w:iCs/>
              </w:rPr>
              <w:t>Documente privind identificarea reprezentantului legal</w:t>
            </w:r>
            <w:r w:rsidRPr="00B2700E">
              <w:rPr>
                <w:vertAlign w:val="superscript"/>
              </w:rPr>
              <w:footnoteReference w:id="6"/>
            </w:r>
            <w:r w:rsidRPr="00B2700E">
              <w:rPr>
                <w:iCs/>
                <w:vertAlign w:val="superscript"/>
              </w:rPr>
              <w:t xml:space="preserve"> </w:t>
            </w:r>
            <w:r w:rsidRPr="00B2700E">
              <w:rPr>
                <w:iCs/>
              </w:rPr>
              <w:t xml:space="preserve">al solicitantului </w:t>
            </w:r>
            <w:r w:rsidRPr="00B2700E">
              <w:rPr>
                <w:b w:val="0"/>
                <w:bCs w:val="0"/>
                <w:iCs/>
              </w:rPr>
              <w:t>şi, dacă e cazul, pentru reprezentanţii legali ai partenerilor</w:t>
            </w:r>
          </w:p>
          <w:p w14:paraId="7E08014A" w14:textId="77777777"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ind w:left="0"/>
              <w:rPr>
                <w:rFonts w:eastAsia="SimSun"/>
                <w:b w:val="0"/>
                <w:bCs w:val="0"/>
              </w:rPr>
            </w:pPr>
            <w:r w:rsidRPr="00B2700E">
              <w:rPr>
                <w:rFonts w:eastAsia="SimSun"/>
                <w:b w:val="0"/>
                <w:bCs w:val="0"/>
              </w:rPr>
              <w:t>Pentru reprezentantul legal al solicitantului şi dacă e cazul, pentru reprezentanţii legali ai liderului de parteneriat/partenerilor, se va anexa, în mod obligatoriu, la cererea de finanțare, o copie a documentului de identificare. Atunci când sunt documente asumate de o persoană împuternicită conform celor de mai jos, se anexează în mod un act de identificare inclusiv a persoanei împuternicite. Documentele trebuie să fie în termen de valabilitate.</w:t>
            </w:r>
          </w:p>
          <w:p w14:paraId="1F4309CC" w14:textId="77777777" w:rsidR="00B2700E" w:rsidRPr="00B2700E" w:rsidRDefault="00B2700E" w:rsidP="00B2700E">
            <w:pPr>
              <w:widowControl w:val="0"/>
              <w:spacing w:after="0"/>
              <w:rPr>
                <w:b w:val="0"/>
                <w:bCs w:val="0"/>
                <w:iCs/>
              </w:rPr>
            </w:pPr>
            <w:r w:rsidRPr="00B2700E">
              <w:rPr>
                <w:b w:val="0"/>
                <w:bCs w:val="0"/>
                <w:iCs/>
              </w:rPr>
              <w:t>2.</w:t>
            </w:r>
            <w:r w:rsidRPr="00B2700E">
              <w:rPr>
                <w:b w:val="0"/>
                <w:bCs w:val="0"/>
                <w:iCs/>
              </w:rPr>
              <w:tab/>
            </w:r>
            <w:r w:rsidRPr="00B17024">
              <w:rPr>
                <w:iCs/>
              </w:rPr>
              <w:t>Mandatul special/ împuternicirea specială pentru semnarea (digitală)</w:t>
            </w:r>
            <w:r w:rsidRPr="00B2700E">
              <w:rPr>
                <w:b w:val="0"/>
                <w:bCs w:val="0"/>
                <w:iCs/>
              </w:rPr>
              <w:t xml:space="preserve"> a certificării aplicației  și transmiterea cererii de finanțare prin MYSMIS  </w:t>
            </w:r>
          </w:p>
          <w:p w14:paraId="69DB991E" w14:textId="77777777" w:rsidR="00B2700E" w:rsidRPr="00B2700E" w:rsidRDefault="00B2700E" w:rsidP="00B2700E">
            <w:pPr>
              <w:widowControl w:val="0"/>
              <w:spacing w:after="0"/>
              <w:rPr>
                <w:b w:val="0"/>
                <w:bCs w:val="0"/>
                <w:iCs/>
              </w:rPr>
            </w:pPr>
          </w:p>
          <w:p w14:paraId="288E1514" w14:textId="77777777" w:rsidR="00B2700E" w:rsidRPr="00B2700E" w:rsidRDefault="00B2700E" w:rsidP="00B2700E">
            <w:pPr>
              <w:widowControl w:val="0"/>
              <w:spacing w:after="0"/>
              <w:rPr>
                <w:b w:val="0"/>
                <w:bCs w:val="0"/>
                <w:iCs/>
              </w:rPr>
            </w:pPr>
            <w:r w:rsidRPr="00B2700E">
              <w:rPr>
                <w:b w:val="0"/>
                <w:bCs w:val="0"/>
                <w:iCs/>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6DCB596F" w14:textId="77777777" w:rsidR="00B2700E" w:rsidRPr="00B2700E" w:rsidRDefault="00B2700E" w:rsidP="00B2700E">
            <w:pPr>
              <w:widowControl w:val="0"/>
              <w:spacing w:after="0"/>
              <w:rPr>
                <w:b w:val="0"/>
                <w:bCs w:val="0"/>
                <w:iCs/>
              </w:rPr>
            </w:pPr>
          </w:p>
          <w:p w14:paraId="540FAA7F" w14:textId="2D32E7DE" w:rsidR="00A657B7" w:rsidRDefault="00B2700E" w:rsidP="00B2700E">
            <w:pPr>
              <w:widowControl w:val="0"/>
              <w:spacing w:after="0"/>
              <w:rPr>
                <w:b w:val="0"/>
                <w:bCs w:val="0"/>
                <w:iCs/>
              </w:rPr>
            </w:pPr>
            <w:r w:rsidRPr="00B2700E">
              <w:rPr>
                <w:b w:val="0"/>
                <w:bCs w:val="0"/>
                <w:iCs/>
              </w:rPr>
              <w:t>Împuternicirea respectivă va fi semnată de către reprezentatul legal al solicitantului fie olograf, fie cu semnătură electronică extinsă validă.</w:t>
            </w:r>
          </w:p>
          <w:p w14:paraId="76844C88" w14:textId="77777777" w:rsidR="00B2700E" w:rsidRPr="00B2700E" w:rsidRDefault="00B2700E" w:rsidP="00B2700E">
            <w:pPr>
              <w:widowControl w:val="0"/>
              <w:spacing w:after="0"/>
              <w:rPr>
                <w:b w:val="0"/>
                <w:bCs w:val="0"/>
                <w:iCs/>
              </w:rPr>
            </w:pPr>
            <w:r w:rsidRPr="00B2700E">
              <w:rPr>
                <w:b w:val="0"/>
                <w:bCs w:val="0"/>
                <w:iCs/>
              </w:rPr>
              <w:t>3.</w:t>
            </w:r>
            <w:r w:rsidRPr="00B2700E">
              <w:rPr>
                <w:b w:val="0"/>
                <w:bCs w:val="0"/>
                <w:iCs/>
              </w:rPr>
              <w:tab/>
            </w:r>
            <w:r w:rsidRPr="00B17024">
              <w:rPr>
                <w:iCs/>
              </w:rPr>
              <w:t>Documente statutare ale solicitantului</w:t>
            </w:r>
            <w:r w:rsidRPr="00B2700E">
              <w:rPr>
                <w:b w:val="0"/>
                <w:bCs w:val="0"/>
                <w:iCs/>
              </w:rPr>
              <w:t xml:space="preserve"> și, după caz, ale partenerilor</w:t>
            </w:r>
          </w:p>
          <w:p w14:paraId="4C79045A" w14:textId="77777777" w:rsidR="00B2700E" w:rsidRPr="00B2700E" w:rsidRDefault="00B2700E" w:rsidP="00B2700E">
            <w:pPr>
              <w:widowControl w:val="0"/>
              <w:spacing w:after="0"/>
              <w:rPr>
                <w:b w:val="0"/>
                <w:bCs w:val="0"/>
                <w:iCs/>
              </w:rPr>
            </w:pPr>
          </w:p>
          <w:p w14:paraId="59A8DB51" w14:textId="77777777" w:rsidR="00B2700E" w:rsidRPr="00B2700E" w:rsidRDefault="00B2700E" w:rsidP="00B2700E">
            <w:pPr>
              <w:widowControl w:val="0"/>
              <w:spacing w:after="0"/>
              <w:rPr>
                <w:b w:val="0"/>
                <w:bCs w:val="0"/>
                <w:iCs/>
              </w:rPr>
            </w:pPr>
            <w:r w:rsidRPr="00B2700E">
              <w:rPr>
                <w:b w:val="0"/>
                <w:bCs w:val="0"/>
                <w:iCs/>
              </w:rPr>
              <w:t>Vor fi prezentate, după caz, documentele statutare ale solicitantului şi, dacă e cazul, ale partenerilor, în vigoare la data depunerii cererii de finanțare, astfel:</w:t>
            </w:r>
          </w:p>
          <w:p w14:paraId="3DF29E79" w14:textId="77777777" w:rsidR="00B2700E" w:rsidRPr="00B2700E" w:rsidRDefault="00B2700E" w:rsidP="00B2700E">
            <w:pPr>
              <w:widowControl w:val="0"/>
              <w:spacing w:after="0"/>
              <w:rPr>
                <w:b w:val="0"/>
                <w:bCs w:val="0"/>
                <w:iCs/>
              </w:rPr>
            </w:pPr>
            <w:r w:rsidRPr="00B2700E">
              <w:rPr>
                <w:b w:val="0"/>
                <w:bCs w:val="0"/>
                <w:iCs/>
              </w:rPr>
              <w:t>Documente statutare pentru solicitantul de finanţare (inclusiv partenerii, după caz):</w:t>
            </w:r>
          </w:p>
          <w:p w14:paraId="1FB65EF3" w14:textId="77777777" w:rsidR="00B2700E" w:rsidRPr="00B2700E" w:rsidRDefault="00B2700E" w:rsidP="00B2700E">
            <w:pPr>
              <w:widowControl w:val="0"/>
              <w:spacing w:after="0"/>
              <w:rPr>
                <w:b w:val="0"/>
                <w:bCs w:val="0"/>
                <w:iCs/>
              </w:rPr>
            </w:pPr>
            <w:r w:rsidRPr="00B2700E">
              <w:rPr>
                <w:b w:val="0"/>
                <w:bCs w:val="0"/>
                <w:iCs/>
              </w:rPr>
              <w:t>• Hotărârea de constituire a consiliului local;</w:t>
            </w:r>
          </w:p>
          <w:p w14:paraId="326565B2" w14:textId="77777777" w:rsidR="00B2700E" w:rsidRPr="00B2700E" w:rsidRDefault="00B2700E" w:rsidP="00B2700E">
            <w:pPr>
              <w:widowControl w:val="0"/>
              <w:spacing w:after="0"/>
              <w:rPr>
                <w:b w:val="0"/>
                <w:bCs w:val="0"/>
                <w:iCs/>
              </w:rPr>
            </w:pPr>
            <w:r w:rsidRPr="00B2700E">
              <w:rPr>
                <w:b w:val="0"/>
                <w:bCs w:val="0"/>
                <w:iCs/>
              </w:rPr>
              <w:t>• Hotărârea de constituire a consiliului județean;</w:t>
            </w:r>
          </w:p>
          <w:p w14:paraId="43473070" w14:textId="76FB3A33" w:rsidR="00B2700E" w:rsidRDefault="00B2700E" w:rsidP="00B2700E">
            <w:pPr>
              <w:widowControl w:val="0"/>
              <w:spacing w:after="0"/>
              <w:rPr>
                <w:iCs/>
              </w:rPr>
            </w:pPr>
            <w:r w:rsidRPr="00B2700E">
              <w:rPr>
                <w:b w:val="0"/>
                <w:bCs w:val="0"/>
                <w:iCs/>
              </w:rPr>
              <w:t>• Ordinul prefectului privind constatarea îndeplinirii condiţiilor legale de constituire a consiliului local/ județean, după caz;</w:t>
            </w:r>
          </w:p>
          <w:p w14:paraId="4D1021A0" w14:textId="77777777" w:rsidR="00B2700E" w:rsidRDefault="00B2700E" w:rsidP="00B2700E">
            <w:pPr>
              <w:widowControl w:val="0"/>
              <w:spacing w:after="0"/>
              <w:rPr>
                <w:iCs/>
              </w:rPr>
            </w:pPr>
          </w:p>
          <w:p w14:paraId="5A2BE661" w14:textId="77777777" w:rsidR="00B2700E" w:rsidRPr="00B2700E" w:rsidRDefault="00B2700E" w:rsidP="00B2700E">
            <w:pPr>
              <w:widowControl w:val="0"/>
              <w:spacing w:after="0"/>
              <w:rPr>
                <w:b w:val="0"/>
                <w:bCs w:val="0"/>
                <w:iCs/>
              </w:rPr>
            </w:pPr>
            <w:r w:rsidRPr="00B2700E">
              <w:rPr>
                <w:b w:val="0"/>
                <w:bCs w:val="0"/>
                <w:iCs/>
              </w:rPr>
              <w:t>Se vor anexa următoarele documente statutare pentru reprezentantul legal al solicitantul de finanţare (inclusiv al partenerului/partenerilor, după caz):</w:t>
            </w:r>
          </w:p>
          <w:p w14:paraId="61320A1A" w14:textId="77777777" w:rsidR="00B2700E" w:rsidRPr="00B2700E" w:rsidRDefault="00B2700E" w:rsidP="00B2700E">
            <w:pPr>
              <w:widowControl w:val="0"/>
              <w:spacing w:after="0"/>
              <w:rPr>
                <w:b w:val="0"/>
                <w:bCs w:val="0"/>
                <w:iCs/>
              </w:rPr>
            </w:pPr>
            <w:r w:rsidRPr="00B2700E">
              <w:rPr>
                <w:b w:val="0"/>
                <w:bCs w:val="0"/>
                <w:iCs/>
              </w:rPr>
              <w:t>• Hotărârea judecătorească de validare a mandatului Primarului/Președintelui Consiliului Județean (sau orice alte documente din care să rezulte calitatea de reprezentant legal, pentru situații particulare);</w:t>
            </w:r>
          </w:p>
          <w:p w14:paraId="57BA72BE" w14:textId="77777777" w:rsidR="00B2700E" w:rsidRPr="00B2700E" w:rsidRDefault="00B2700E" w:rsidP="00B2700E">
            <w:pPr>
              <w:widowControl w:val="0"/>
              <w:spacing w:after="0"/>
              <w:rPr>
                <w:b w:val="0"/>
                <w:bCs w:val="0"/>
                <w:iCs/>
              </w:rPr>
            </w:pPr>
            <w:r w:rsidRPr="00B2700E">
              <w:rPr>
                <w:b w:val="0"/>
                <w:bCs w:val="0"/>
                <w:iCs/>
              </w:rPr>
              <w:t>• Hotărârea consiliului judeţean de alegere a președintelui Consiliului Județean;</w:t>
            </w:r>
          </w:p>
          <w:p w14:paraId="26D0C10F" w14:textId="77777777" w:rsidR="00B2700E" w:rsidRPr="00B2700E" w:rsidRDefault="00B2700E" w:rsidP="00B2700E">
            <w:pPr>
              <w:widowControl w:val="0"/>
              <w:spacing w:after="0"/>
              <w:rPr>
                <w:b w:val="0"/>
                <w:bCs w:val="0"/>
                <w:iCs/>
              </w:rPr>
            </w:pPr>
            <w:r w:rsidRPr="00B2700E">
              <w:rPr>
                <w:b w:val="0"/>
                <w:bCs w:val="0"/>
                <w:iCs/>
              </w:rPr>
              <w:t>• Hotărâre/decizie/alt act administrativ de numire a conducătorului instituției publice locale;</w:t>
            </w:r>
          </w:p>
          <w:p w14:paraId="44722945" w14:textId="5E92028C" w:rsidR="00B2700E" w:rsidRPr="00B2700E" w:rsidRDefault="00B2700E">
            <w:pPr>
              <w:widowControl w:val="0"/>
              <w:numPr>
                <w:ilvl w:val="0"/>
                <w:numId w:val="51"/>
              </w:numPr>
              <w:spacing w:after="0"/>
              <w:rPr>
                <w:b w:val="0"/>
                <w:bCs w:val="0"/>
                <w:iCs/>
              </w:rPr>
            </w:pPr>
            <w:r w:rsidRPr="00B2700E">
              <w:rPr>
                <w:b w:val="0"/>
                <w:bCs w:val="0"/>
                <w:iCs/>
              </w:rPr>
              <w:lastRenderedPageBreak/>
              <w:t>H AGA pentru alegerea președitelui ADI, reprezentant legal al acesteia și H CJ/CL/ acte normative sau administrative de constituire a UAT care sunt membre și pe teritoriul cărora se implementează proiectul</w:t>
            </w:r>
          </w:p>
          <w:p w14:paraId="6AA61F45" w14:textId="77777777" w:rsidR="00B2700E" w:rsidRPr="00B2700E" w:rsidRDefault="00B2700E" w:rsidP="00B2700E">
            <w:pPr>
              <w:widowControl w:val="0"/>
              <w:spacing w:after="0"/>
              <w:rPr>
                <w:b w:val="0"/>
                <w:bCs w:val="0"/>
                <w:iCs/>
              </w:rPr>
            </w:pPr>
            <w:r w:rsidRPr="00B2700E">
              <w:rPr>
                <w:b w:val="0"/>
                <w:bCs w:val="0"/>
                <w:iCs/>
              </w:rPr>
              <w:t>În cazul modificării acestora, se vor depune și documentele actualizate, dacă este cazul.</w:t>
            </w:r>
          </w:p>
          <w:p w14:paraId="0594B39E" w14:textId="77777777" w:rsidR="0041152A" w:rsidRPr="0041152A" w:rsidRDefault="0041152A" w:rsidP="0041152A">
            <w:pPr>
              <w:widowControl w:val="0"/>
              <w:spacing w:after="0"/>
              <w:rPr>
                <w:b w:val="0"/>
                <w:bCs w:val="0"/>
                <w:iCs/>
              </w:rPr>
            </w:pPr>
            <w:r w:rsidRPr="0041152A">
              <w:rPr>
                <w:b w:val="0"/>
                <w:bCs w:val="0"/>
                <w:iCs/>
              </w:rPr>
              <w:t>În cazul în care ocupantul nu coincide cu solicitantul, sunt prezentate:</w:t>
            </w:r>
          </w:p>
          <w:p w14:paraId="34BB66FA" w14:textId="77777777" w:rsidR="0041152A" w:rsidRPr="0041152A" w:rsidRDefault="0041152A" w:rsidP="0041152A">
            <w:pPr>
              <w:widowControl w:val="0"/>
              <w:spacing w:after="0"/>
              <w:rPr>
                <w:b w:val="0"/>
                <w:bCs w:val="0"/>
                <w:iCs/>
              </w:rPr>
            </w:pPr>
            <w:r w:rsidRPr="0041152A">
              <w:rPr>
                <w:b w:val="0"/>
                <w:bCs w:val="0"/>
                <w:iCs/>
              </w:rPr>
              <w:t>−</w:t>
            </w:r>
            <w:r w:rsidRPr="0041152A">
              <w:rPr>
                <w:b w:val="0"/>
                <w:bCs w:val="0"/>
                <w:iCs/>
              </w:rPr>
              <w:tab/>
              <w:t>documente din care reiese că ocupantul/ții se încadrează în categoria entităților descrise la secțiunile 5.1 (ex. acte de înființare, actul privind organizarea și funcționarea);</w:t>
            </w:r>
          </w:p>
          <w:p w14:paraId="7802645D" w14:textId="146A4F9A" w:rsidR="00B2700E" w:rsidRPr="0041152A" w:rsidRDefault="0041152A" w:rsidP="0041152A">
            <w:pPr>
              <w:widowControl w:val="0"/>
              <w:spacing w:after="0"/>
              <w:rPr>
                <w:b w:val="0"/>
                <w:bCs w:val="0"/>
                <w:iCs/>
              </w:rPr>
            </w:pPr>
            <w:r w:rsidRPr="0041152A">
              <w:rPr>
                <w:b w:val="0"/>
                <w:bCs w:val="0"/>
                <w:iCs/>
              </w:rPr>
              <w:t>dacă din documentele menționate mai sus nu reiese că ocupantul își desfășoară activitatea în clădirea/clădirile care face/fac obiectul proiectului): Alte documente din care să reiasă îndeplinirea criteriului.</w:t>
            </w:r>
          </w:p>
          <w:p w14:paraId="0DED89DE" w14:textId="3B1392CE" w:rsidR="00B2700E" w:rsidRDefault="00B2700E" w:rsidP="00B2700E">
            <w:pPr>
              <w:widowControl w:val="0"/>
              <w:spacing w:after="0"/>
              <w:rPr>
                <w:iCs/>
              </w:rPr>
            </w:pPr>
            <w:r>
              <w:rPr>
                <w:iCs/>
              </w:rPr>
              <w:t>4</w:t>
            </w:r>
            <w:r w:rsidRPr="00B2700E">
              <w:rPr>
                <w:iCs/>
              </w:rPr>
              <w:t>.</w:t>
            </w:r>
            <w:r w:rsidRPr="00B2700E">
              <w:rPr>
                <w:iCs/>
              </w:rPr>
              <w:tab/>
            </w:r>
            <w:r w:rsidRPr="00B17024">
              <w:rPr>
                <w:iCs/>
              </w:rPr>
              <w:t>Lista de auto-evaluare privind respectarea principiului DNSH</w:t>
            </w:r>
            <w:r w:rsidRPr="00B2700E">
              <w:rPr>
                <w:b w:val="0"/>
                <w:bCs w:val="0"/>
                <w:iCs/>
              </w:rPr>
              <w:t>, completată, luând în considerare Metodologia din Anexa nr. 5 a ghidului</w:t>
            </w:r>
          </w:p>
          <w:p w14:paraId="5173EF38" w14:textId="59A353EC" w:rsidR="00B2700E" w:rsidRDefault="00B2700E" w:rsidP="00B2700E">
            <w:pPr>
              <w:widowControl w:val="0"/>
              <w:spacing w:after="0"/>
              <w:rPr>
                <w:b w:val="0"/>
                <w:bCs w:val="0"/>
                <w:iCs/>
              </w:rPr>
            </w:pPr>
            <w:r>
              <w:rPr>
                <w:iCs/>
              </w:rPr>
              <w:t xml:space="preserve">5. </w:t>
            </w:r>
            <w:r w:rsidRPr="00B2700E">
              <w:rPr>
                <w:iCs/>
              </w:rPr>
              <w:tab/>
              <w:t xml:space="preserve">Studiul de Fezabilitate/ Documentația de avizare a lucrărilor de intervenție/Proiectul tehnic și, dacă există, Contractul de execuție de lucrări, în conformitate cu prevederile HG nr. 907/2016, după caz, </w:t>
            </w:r>
          </w:p>
          <w:p w14:paraId="0853A80F" w14:textId="674673B2" w:rsidR="00B2700E" w:rsidRDefault="00B2700E" w:rsidP="00B2700E">
            <w:pPr>
              <w:widowControl w:val="0"/>
              <w:spacing w:after="0"/>
              <w:rPr>
                <w:b w:val="0"/>
                <w:bCs w:val="0"/>
                <w:iCs/>
              </w:rPr>
            </w:pPr>
          </w:p>
          <w:p w14:paraId="30762A40" w14:textId="7846DAD8" w:rsidR="00B2700E" w:rsidRDefault="00B2700E" w:rsidP="00B2700E">
            <w:pPr>
              <w:widowControl w:val="0"/>
              <w:spacing w:after="0"/>
              <w:rPr>
                <w:b w:val="0"/>
                <w:bCs w:val="0"/>
                <w:iCs/>
              </w:rPr>
            </w:pPr>
            <w:r>
              <w:rPr>
                <w:iCs/>
              </w:rPr>
              <w:t xml:space="preserve">7. </w:t>
            </w:r>
            <w:r w:rsidRPr="00B2700E">
              <w:rPr>
                <w:iCs/>
              </w:rPr>
              <w:tab/>
            </w:r>
            <w:r w:rsidR="00047BDB">
              <w:rPr>
                <w:iCs/>
              </w:rPr>
              <w:t>Anexa privind</w:t>
            </w:r>
            <w:r w:rsidRPr="00B2700E">
              <w:rPr>
                <w:iCs/>
              </w:rPr>
              <w:t xml:space="preserve"> rezonabilitatea costurilor și justificarea cel mai bun raport între cuantumul sprijinului, activitățile desfășurate și îndeplinirea obiectivelor</w:t>
            </w:r>
            <w:r w:rsidR="00047BDB">
              <w:rPr>
                <w:iCs/>
              </w:rPr>
              <w:t xml:space="preserve"> (documente justificative)</w:t>
            </w:r>
            <w:r w:rsidRPr="00B2700E">
              <w:rPr>
                <w:iCs/>
              </w:rPr>
              <w:t>.</w:t>
            </w:r>
          </w:p>
          <w:p w14:paraId="29852870" w14:textId="471DB4F0" w:rsidR="00B2700E" w:rsidRPr="00047BDB" w:rsidRDefault="00B2700E" w:rsidP="00B2700E">
            <w:pPr>
              <w:widowControl w:val="0"/>
              <w:spacing w:after="0"/>
              <w:rPr>
                <w:b w:val="0"/>
                <w:bCs w:val="0"/>
                <w:iCs/>
              </w:rPr>
            </w:pPr>
            <w:r>
              <w:rPr>
                <w:iCs/>
              </w:rPr>
              <w:t xml:space="preserve">8. </w:t>
            </w:r>
            <w:r w:rsidRPr="00B2700E">
              <w:rPr>
                <w:iCs/>
              </w:rPr>
              <w:tab/>
              <w:t xml:space="preserve">Devizul general pentru proiectele de lucrări în conformitate cu HG nr. 907/2016 – </w:t>
            </w:r>
            <w:r w:rsidRPr="00047BDB">
              <w:rPr>
                <w:b w:val="0"/>
                <w:bCs w:val="0"/>
                <w:iCs/>
              </w:rPr>
              <w:t>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p>
          <w:p w14:paraId="4C50B058" w14:textId="175D53F2" w:rsidR="00B2700E" w:rsidRPr="00B2700E" w:rsidRDefault="00B2700E" w:rsidP="00047BDB">
            <w:pPr>
              <w:widowControl w:val="0"/>
              <w:spacing w:after="0"/>
              <w:rPr>
                <w:b w:val="0"/>
                <w:bCs w:val="0"/>
                <w:iCs/>
              </w:rPr>
            </w:pPr>
            <w:r>
              <w:rPr>
                <w:iCs/>
              </w:rPr>
              <w:t xml:space="preserve">9. </w:t>
            </w:r>
            <w:r w:rsidRPr="00B2700E">
              <w:rPr>
                <w:iCs/>
              </w:rPr>
              <w:tab/>
              <w:t xml:space="preserve">Devizele pe obiect, respectiv formularele F2 elaborate distinct </w:t>
            </w:r>
            <w:r w:rsidR="00047BDB">
              <w:rPr>
                <w:iCs/>
              </w:rPr>
              <w:t>.</w:t>
            </w:r>
          </w:p>
          <w:p w14:paraId="77C92F1A" w14:textId="77777777" w:rsidR="00B2700E" w:rsidRDefault="00B2700E" w:rsidP="00B2700E">
            <w:pPr>
              <w:widowControl w:val="0"/>
              <w:spacing w:after="0"/>
              <w:rPr>
                <w:b w:val="0"/>
                <w:bCs w:val="0"/>
                <w:iCs/>
              </w:rPr>
            </w:pPr>
          </w:p>
          <w:p w14:paraId="1AEC7149" w14:textId="77777777"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spacing w:before="0" w:after="0"/>
              <w:ind w:left="427"/>
            </w:pPr>
            <w:r w:rsidRPr="00B2700E">
              <w:rPr>
                <w:iCs/>
              </w:rPr>
              <w:t xml:space="preserve">10. </w:t>
            </w:r>
            <w:r w:rsidRPr="00B2700E">
              <w:t>Autorizația de construire în termen de valabilitate și pentru obiectivele de investiție, dacă este cazul</w:t>
            </w:r>
          </w:p>
          <w:p w14:paraId="7BC2AC7F" w14:textId="77777777"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ind w:left="0"/>
              <w:contextualSpacing/>
            </w:pPr>
            <w:r w:rsidRPr="00B2700E">
              <w:rPr>
                <w:b w:val="0"/>
                <w:bCs w:val="0"/>
              </w:rPr>
              <w:t>(în sensul existenței acesteia la data depunerii cererii de finanțare pentru proiectele care implică lucrări pentru care este necesară emiterea autorizației de construire conform Legii 50/1991, republicată, cu modificările și completările ulterioare)</w:t>
            </w:r>
          </w:p>
          <w:p w14:paraId="76608011" w14:textId="77777777"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ind w:left="432" w:hanging="360"/>
              <w:rPr>
                <w:b w:val="0"/>
                <w:bCs w:val="0"/>
              </w:rPr>
            </w:pPr>
            <w:r w:rsidRPr="00B2700E">
              <w:rPr>
                <w:b w:val="0"/>
                <w:bCs w:val="0"/>
              </w:rPr>
              <w:t>Atenție!</w:t>
            </w:r>
          </w:p>
          <w:p w14:paraId="6F1DF6CC" w14:textId="77777777" w:rsidR="00B2700E" w:rsidRPr="00B2700E" w:rsidRDefault="00B2700E" w:rsidP="00B2700E">
            <w:pPr>
              <w:pBdr>
                <w:top w:val="none" w:sz="0" w:space="0" w:color="auto"/>
                <w:left w:val="none" w:sz="0" w:space="0" w:color="auto"/>
                <w:bottom w:val="none" w:sz="0" w:space="0" w:color="auto"/>
                <w:right w:val="none" w:sz="0" w:space="0" w:color="auto"/>
                <w:between w:val="none" w:sz="0" w:space="0" w:color="auto"/>
              </w:pBdr>
              <w:ind w:left="0"/>
              <w:contextualSpacing/>
            </w:pPr>
            <w:r w:rsidRPr="00B2700E">
              <w:rPr>
                <w:b w:val="0"/>
                <w:bCs w:val="0"/>
              </w:rPr>
              <w:t>Pentru proiectele de investiții publice pentru care nu este obligatorie obținerea autorizației de construire, documentațiile tehnico-economice care se depun împreună cu cererea de finanțare vor fi însoțite şi de planuri de amplasament sau planuri de situații şi alte documente prevăzute de legislația aplicabilă.</w:t>
            </w:r>
          </w:p>
          <w:p w14:paraId="13461894" w14:textId="6B91DC3B" w:rsidR="00B2700E" w:rsidRDefault="00B2700E">
            <w:pPr>
              <w:widowControl w:val="0"/>
              <w:spacing w:after="0"/>
              <w:rPr>
                <w:b w:val="0"/>
                <w:bCs w:val="0"/>
                <w:iCs/>
              </w:rPr>
            </w:pPr>
          </w:p>
          <w:p w14:paraId="180D9DBC" w14:textId="13312238"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after="0"/>
              <w:ind w:left="427"/>
              <w:contextualSpacing/>
              <w:rPr>
                <w:b w:val="0"/>
                <w:bCs w:val="0"/>
              </w:rPr>
            </w:pPr>
            <w:r w:rsidRPr="00095D1A">
              <w:t>11.</w:t>
            </w:r>
            <w:r>
              <w:rPr>
                <w:b w:val="0"/>
                <w:bCs w:val="0"/>
              </w:rPr>
              <w:t xml:space="preserve"> </w:t>
            </w:r>
            <w:r w:rsidRPr="00095D1A">
              <w:t>Actul de reglementare privind evaluarea impactului asupra mediului</w:t>
            </w:r>
            <w:r w:rsidRPr="00095D1A">
              <w:rPr>
                <w:b w:val="0"/>
                <w:bCs w:val="0"/>
              </w:rPr>
              <w:t>, în conformitate cu legislaţia naţională aplicabilă privind evaluarea impactului anumitor proiecte publice şi private asupra mediului, cu completările şi modificările ulterioare, respectiv cu reglementările comunitare aplicabile/ Clasarea notificării</w:t>
            </w:r>
          </w:p>
          <w:p w14:paraId="5D68EA0C"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ind w:left="0"/>
              <w:rPr>
                <w:b w:val="0"/>
                <w:bCs w:val="0"/>
              </w:rPr>
            </w:pPr>
            <w:r w:rsidRPr="00095D1A">
              <w:rPr>
                <w:b w:val="0"/>
                <w:bCs w:val="0"/>
              </w:rPr>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1CE7A368"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ind w:left="0"/>
              <w:rPr>
                <w:b w:val="0"/>
                <w:bCs w:val="0"/>
              </w:rPr>
            </w:pPr>
          </w:p>
          <w:p w14:paraId="7D748679" w14:textId="726A30BF"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after="0"/>
              <w:ind w:left="0"/>
              <w:contextualSpacing/>
            </w:pPr>
            <w:r w:rsidRPr="00095D1A">
              <w:t>12.</w:t>
            </w:r>
            <w:r>
              <w:rPr>
                <w:b w:val="0"/>
                <w:bCs w:val="0"/>
              </w:rPr>
              <w:t xml:space="preserve"> </w:t>
            </w:r>
            <w:r w:rsidRPr="00095D1A">
              <w:t>Lista de echipamente</w:t>
            </w:r>
            <w:r w:rsidRPr="00095D1A">
              <w:rPr>
                <w:b w:val="0"/>
                <w:bCs w:val="0"/>
              </w:rPr>
              <w:t xml:space="preserve"> și/sau lucrări și/sau servicii cu încadrarea acestora pe secțiunea de cheltuieli eligibile /ne-eligibile – conform modelului anexat prezentului ghid – Anexa  la prezentul ghid.</w:t>
            </w:r>
          </w:p>
          <w:p w14:paraId="7A57CAE9"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0"/>
            </w:pPr>
            <w:r w:rsidRPr="00095D1A">
              <w:rPr>
                <w:b w:val="0"/>
                <w:bCs w:val="0"/>
              </w:rPr>
              <w:lastRenderedPageBreak/>
              <w:t>Se va prezenta lista pentru echipamente și/sau dotări și/sau lucrări și/sau servicii, evidenţiindu-se cele două tipuri de cheltuieli (eligibile/ne-eligibile), cu menţionarea preţurilor acestora, iar informațiile vor fi corelate cu bugetul proiectului.</w:t>
            </w:r>
          </w:p>
          <w:p w14:paraId="15104FB2"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0"/>
              <w:rPr>
                <w:color w:val="FF0000"/>
              </w:rPr>
            </w:pPr>
          </w:p>
          <w:p w14:paraId="2DCE2DAA" w14:textId="2CF5EA1A"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after="0"/>
              <w:ind w:left="427"/>
              <w:contextualSpacing/>
              <w:rPr>
                <w:b w:val="0"/>
                <w:bCs w:val="0"/>
              </w:rPr>
            </w:pPr>
            <w:r>
              <w:rPr>
                <w:b w:val="0"/>
                <w:bCs w:val="0"/>
              </w:rPr>
              <w:t xml:space="preserve">13. </w:t>
            </w:r>
            <w:r w:rsidRPr="00095D1A">
              <w:t>Planuri de amplasament</w:t>
            </w:r>
            <w:r w:rsidRPr="00095D1A">
              <w:rPr>
                <w:b w:val="0"/>
                <w:bCs w:val="0"/>
              </w:rPr>
              <w:t xml:space="preserve"> sau Planurie de situație cu privire la obiective de investiție, dacă nu sunt incluse în documentația tehnico-economică</w:t>
            </w:r>
          </w:p>
          <w:p w14:paraId="59BAAFF8"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0"/>
              <w:contextualSpacing/>
              <w:rPr>
                <w:b w:val="0"/>
                <w:bCs w:val="0"/>
              </w:rPr>
            </w:pPr>
          </w:p>
          <w:p w14:paraId="69FD956F" w14:textId="6A6BCBF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after="0"/>
              <w:ind w:left="337"/>
              <w:contextualSpacing/>
            </w:pPr>
            <w:r>
              <w:rPr>
                <w:b w:val="0"/>
                <w:bCs w:val="0"/>
              </w:rPr>
              <w:t xml:space="preserve">14. </w:t>
            </w:r>
            <w:r w:rsidRPr="00095D1A">
              <w:t>Documentația privind imunizarea la schimbările climatice</w:t>
            </w:r>
          </w:p>
          <w:p w14:paraId="405AA315"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rPr>
                <w:b w:val="0"/>
                <w:bCs w:val="0"/>
              </w:rPr>
            </w:pPr>
            <w:r w:rsidRPr="00095D1A">
              <w:rPr>
                <w:b w:val="0"/>
                <w:bCs w:val="0"/>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dimensiunea și complexitatea proiectului.</w:t>
            </w:r>
          </w:p>
          <w:p w14:paraId="702F3BB6"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rPr>
                <w:b w:val="0"/>
                <w:bCs w:val="0"/>
              </w:rPr>
            </w:pPr>
            <w:r w:rsidRPr="00095D1A">
              <w:rPr>
                <w:b w:val="0"/>
                <w:bCs w:val="0"/>
              </w:rPr>
              <w:t>Aceasta documentatie este obligatorie doar in cazul în care analiza imunizării la schimbările climatice nu a fost inclusă în studiul de fezabilitate.</w:t>
            </w:r>
          </w:p>
          <w:p w14:paraId="5F12A236" w14:textId="77777777" w:rsidR="00095D1A" w:rsidRPr="00095D1A" w:rsidRDefault="00095D1A" w:rsidP="00095D1A">
            <w:pPr>
              <w:pBdr>
                <w:top w:val="none" w:sz="0" w:space="0" w:color="auto"/>
                <w:left w:val="none" w:sz="0" w:space="0" w:color="auto"/>
                <w:bottom w:val="none" w:sz="0" w:space="0" w:color="auto"/>
                <w:right w:val="none" w:sz="0" w:space="0" w:color="auto"/>
                <w:between w:val="none" w:sz="0" w:space="0" w:color="auto"/>
              </w:pBdr>
              <w:spacing w:before="0"/>
              <w:ind w:left="-23"/>
              <w:contextualSpacing/>
            </w:pPr>
          </w:p>
          <w:p w14:paraId="68E5DD70" w14:textId="77777777" w:rsidR="00095D1A" w:rsidRPr="00095D1A" w:rsidRDefault="00095D1A">
            <w:pPr>
              <w:numPr>
                <w:ilvl w:val="0"/>
                <w:numId w:val="52"/>
              </w:numPr>
              <w:pBdr>
                <w:top w:val="none" w:sz="0" w:space="0" w:color="auto"/>
                <w:left w:val="none" w:sz="0" w:space="0" w:color="auto"/>
                <w:bottom w:val="none" w:sz="0" w:space="0" w:color="auto"/>
                <w:right w:val="none" w:sz="0" w:space="0" w:color="auto"/>
                <w:between w:val="none" w:sz="0" w:space="0" w:color="auto"/>
              </w:pBdr>
              <w:spacing w:after="0"/>
              <w:ind w:left="337" w:hanging="337"/>
              <w:contextualSpacing/>
              <w:rPr>
                <w:b w:val="0"/>
                <w:bCs w:val="0"/>
              </w:rPr>
            </w:pPr>
            <w:r w:rsidRPr="00095D1A">
              <w:rPr>
                <w:b w:val="0"/>
                <w:bCs w:val="0"/>
              </w:rPr>
              <w:t xml:space="preserve">Pentru solicitanții </w:t>
            </w:r>
            <w:r w:rsidRPr="00095D1A">
              <w:t>Unități Administrativ Teritoriale membre ITI Valea Jiului:</w:t>
            </w:r>
          </w:p>
          <w:p w14:paraId="556CFA23" w14:textId="77777777" w:rsidR="00095D1A" w:rsidRPr="00095D1A" w:rsidRDefault="00095D1A">
            <w:pPr>
              <w:numPr>
                <w:ilvl w:val="0"/>
                <w:numId w:val="53"/>
              </w:numPr>
              <w:pBdr>
                <w:top w:val="none" w:sz="0" w:space="0" w:color="auto"/>
                <w:left w:val="none" w:sz="0" w:space="0" w:color="auto"/>
                <w:bottom w:val="none" w:sz="0" w:space="0" w:color="auto"/>
                <w:right w:val="none" w:sz="0" w:space="0" w:color="auto"/>
                <w:between w:val="none" w:sz="0" w:space="0" w:color="auto"/>
              </w:pBdr>
              <w:spacing w:after="0"/>
              <w:ind w:left="427" w:hanging="270"/>
              <w:contextualSpacing/>
              <w:rPr>
                <w:bCs w:val="0"/>
              </w:rPr>
            </w:pPr>
            <w:r w:rsidRPr="00095D1A">
              <w:rPr>
                <w:b w:val="0"/>
                <w:bCs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50C4F27F" w14:textId="77777777" w:rsidR="00095D1A" w:rsidRPr="00095D1A" w:rsidRDefault="00095D1A">
            <w:pPr>
              <w:numPr>
                <w:ilvl w:val="0"/>
                <w:numId w:val="53"/>
              </w:numPr>
              <w:pBdr>
                <w:top w:val="none" w:sz="0" w:space="0" w:color="auto"/>
                <w:left w:val="none" w:sz="0" w:space="0" w:color="auto"/>
                <w:bottom w:val="none" w:sz="0" w:space="0" w:color="auto"/>
                <w:right w:val="none" w:sz="0" w:space="0" w:color="auto"/>
                <w:between w:val="none" w:sz="0" w:space="0" w:color="auto"/>
              </w:pBdr>
              <w:spacing w:after="0"/>
              <w:ind w:left="427" w:hanging="270"/>
              <w:contextualSpacing/>
              <w:rPr>
                <w:bCs w:val="0"/>
              </w:rPr>
            </w:pPr>
            <w:r w:rsidRPr="00095D1A">
              <w:rPr>
                <w:b w:val="0"/>
                <w:bCs w:val="0"/>
              </w:rPr>
              <w:t>Planul de măsuri din Strategia de dezvoltare economică, socială și de mediu a Văii Jiului aprobată, dacă este cazul.</w:t>
            </w:r>
          </w:p>
          <w:p w14:paraId="52409C92" w14:textId="1E727642" w:rsidR="00095D1A" w:rsidRPr="00095D1A" w:rsidRDefault="00095D1A" w:rsidP="00095D1A">
            <w:pPr>
              <w:widowControl w:val="0"/>
              <w:spacing w:after="0"/>
              <w:rPr>
                <w:b w:val="0"/>
                <w:bCs w:val="0"/>
                <w:iCs/>
              </w:rPr>
            </w:pPr>
            <w:r w:rsidRPr="00095D1A">
              <w:rPr>
                <w:iCs/>
              </w:rPr>
              <w:t>16.</w:t>
            </w:r>
            <w:r w:rsidRPr="00095D1A">
              <w:rPr>
                <w:b w:val="0"/>
                <w:bCs w:val="0"/>
                <w:iCs/>
              </w:rPr>
              <w:tab/>
            </w:r>
            <w:r w:rsidRPr="0041152A">
              <w:rPr>
                <w:iCs/>
              </w:rPr>
              <w:t>Metoda necesarului de finantare</w:t>
            </w:r>
            <w:r w:rsidRPr="00095D1A">
              <w:rPr>
                <w:b w:val="0"/>
                <w:bCs w:val="0"/>
                <w:iCs/>
              </w:rPr>
              <w:t xml:space="preserve"> (funding-gap)</w:t>
            </w:r>
          </w:p>
          <w:p w14:paraId="13C362AF" w14:textId="122E29B2" w:rsidR="00095D1A" w:rsidRPr="00095D1A" w:rsidRDefault="00095D1A" w:rsidP="00095D1A">
            <w:pPr>
              <w:widowControl w:val="0"/>
              <w:spacing w:after="0"/>
              <w:rPr>
                <w:b w:val="0"/>
                <w:bCs w:val="0"/>
                <w:iCs/>
              </w:rPr>
            </w:pPr>
            <w:r w:rsidRPr="00095D1A">
              <w:rPr>
                <w:b w:val="0"/>
                <w:bCs w:val="0"/>
                <w:iCs/>
              </w:rPr>
              <w:t xml:space="preserve">Solicitantul va depune Metoda necesarului de finantare (funding-gap), prin care demonstrează că proiectul nu generează profit pe perioada de viață a investiției, pentru proiectele cu activităţi care vor genera venituri </w:t>
            </w:r>
            <w:r w:rsidR="00C573F2">
              <w:rPr>
                <w:b w:val="0"/>
                <w:bCs w:val="0"/>
                <w:iCs/>
              </w:rPr>
              <w:t>rezidual</w:t>
            </w:r>
          </w:p>
          <w:p w14:paraId="24AC46A9" w14:textId="15CF5EE2" w:rsidR="00095D1A" w:rsidRPr="00095D1A" w:rsidRDefault="00095D1A" w:rsidP="00C573F2">
            <w:pPr>
              <w:widowControl w:val="0"/>
              <w:spacing w:after="0"/>
              <w:rPr>
                <w:b w:val="0"/>
                <w:bCs w:val="0"/>
                <w:iCs/>
              </w:rPr>
            </w:pPr>
            <w:r w:rsidRPr="00095D1A">
              <w:rPr>
                <w:b w:val="0"/>
                <w:bCs w:val="0"/>
                <w:iCs/>
              </w:rPr>
              <w:t xml:space="preserve">În cazul proiectelor generatoare de venit, solicitantul </w:t>
            </w:r>
            <w:r w:rsidR="00C573F2">
              <w:rPr>
                <w:b w:val="0"/>
                <w:bCs w:val="0"/>
                <w:iCs/>
              </w:rPr>
              <w:t>se angajează să le utilizeze conform prevederilor prezentului ghid</w:t>
            </w:r>
            <w:r w:rsidRPr="00095D1A">
              <w:rPr>
                <w:b w:val="0"/>
                <w:bCs w:val="0"/>
                <w:iCs/>
              </w:rPr>
              <w:t>.</w:t>
            </w:r>
          </w:p>
          <w:p w14:paraId="001F7AA5" w14:textId="57606BD3" w:rsidR="00095D1A" w:rsidRPr="00095D1A" w:rsidRDefault="00095D1A" w:rsidP="00095D1A">
            <w:pPr>
              <w:widowControl w:val="0"/>
              <w:spacing w:after="0"/>
              <w:rPr>
                <w:b w:val="0"/>
                <w:bCs w:val="0"/>
                <w:iCs/>
              </w:rPr>
            </w:pPr>
            <w:r w:rsidRPr="00095D1A">
              <w:rPr>
                <w:iCs/>
              </w:rPr>
              <w:t>17.</w:t>
            </w:r>
            <w:r w:rsidRPr="00095D1A">
              <w:rPr>
                <w:b w:val="0"/>
                <w:bCs w:val="0"/>
                <w:iCs/>
              </w:rPr>
              <w:tab/>
            </w:r>
            <w:r w:rsidRPr="0041152A">
              <w:rPr>
                <w:iCs/>
              </w:rPr>
              <w:t>Consimțământ privind prelucrarea datelor cu caracter personal</w:t>
            </w:r>
          </w:p>
          <w:p w14:paraId="0B535219" w14:textId="52B0B6BA" w:rsidR="00095D1A" w:rsidRDefault="00095D1A" w:rsidP="00095D1A">
            <w:pPr>
              <w:widowControl w:val="0"/>
              <w:spacing w:after="0"/>
              <w:rPr>
                <w:b w:val="0"/>
                <w:bCs w:val="0"/>
                <w:iCs/>
              </w:rPr>
            </w:pPr>
            <w:r w:rsidRPr="00095D1A">
              <w:rPr>
                <w:b w:val="0"/>
                <w:bCs w:val="0"/>
                <w:iCs/>
              </w:rPr>
              <w:t>Această declarație (Anexa 6 - Consimțământ privind prelucrarea datelor cu caracter personal) se completează de către reprezentanții legali ai solicitantului (inclusiv partenerilor).</w:t>
            </w:r>
          </w:p>
          <w:p w14:paraId="77BAC315" w14:textId="7EDEA16C" w:rsidR="00095D1A" w:rsidRDefault="00095D1A">
            <w:pPr>
              <w:widowControl w:val="0"/>
              <w:spacing w:after="0"/>
              <w:rPr>
                <w:iCs/>
              </w:rPr>
            </w:pPr>
            <w:r>
              <w:rPr>
                <w:b w:val="0"/>
                <w:bCs w:val="0"/>
                <w:iCs/>
              </w:rPr>
              <w:t>18</w:t>
            </w:r>
            <w:r w:rsidRPr="00095D1A">
              <w:rPr>
                <w:b w:val="0"/>
                <w:bCs w:val="0"/>
                <w:iCs/>
              </w:rPr>
              <w:t>.</w:t>
            </w:r>
            <w:r w:rsidRPr="00095D1A">
              <w:rPr>
                <w:b w:val="0"/>
                <w:bCs w:val="0"/>
                <w:iCs/>
              </w:rPr>
              <w:tab/>
            </w:r>
            <w:r w:rsidRPr="0041152A">
              <w:rPr>
                <w:iCs/>
              </w:rPr>
              <w:t>Extras din Atlasului zonelor urbane sau rurale marginalizate</w:t>
            </w:r>
            <w:r w:rsidRPr="00095D1A">
              <w:rPr>
                <w:b w:val="0"/>
                <w:bCs w:val="0"/>
                <w:iCs/>
              </w:rPr>
              <w:t xml:space="preserve"> specific regiunii, în forma actualizată, dacă acesta există, sau extras din Atlasului zonelor urbane sau rurale marginalizate  din România  din care să reiasă faptul că</w:t>
            </w:r>
            <w:r>
              <w:rPr>
                <w:b w:val="0"/>
                <w:bCs w:val="0"/>
                <w:iCs/>
              </w:rPr>
              <w:t xml:space="preserve"> au fost luate în considerare la selectarea persoanelor vulnerabile din Lista de angajament</w:t>
            </w:r>
            <w:r w:rsidR="00F807E4">
              <w:rPr>
                <w:b w:val="0"/>
                <w:bCs w:val="0"/>
                <w:iCs/>
              </w:rPr>
              <w:t>.</w:t>
            </w:r>
          </w:p>
          <w:p w14:paraId="038A72C3" w14:textId="3F733AA7" w:rsidR="00F807E4" w:rsidRPr="00F807E4" w:rsidRDefault="00F807E4">
            <w:pPr>
              <w:widowControl w:val="0"/>
              <w:spacing w:after="0"/>
              <w:rPr>
                <w:iCs/>
                <w:lang w:val="en-US"/>
              </w:rPr>
            </w:pPr>
            <w:r>
              <w:rPr>
                <w:b w:val="0"/>
                <w:bCs w:val="0"/>
                <w:iCs/>
              </w:rPr>
              <w:t>În procesul de selecție a gospodăriilor care beneficiază de investițiile din proiect, se poate justifica selecția acestora , de asemenea, și prin următoarele</w:t>
            </w:r>
            <w:r>
              <w:rPr>
                <w:b w:val="0"/>
                <w:bCs w:val="0"/>
                <w:iCs/>
                <w:lang w:val="en-US"/>
              </w:rPr>
              <w:t>:</w:t>
            </w:r>
          </w:p>
          <w:p w14:paraId="386AC49D" w14:textId="77777777" w:rsidR="00F807E4" w:rsidRPr="00F807E4" w:rsidRDefault="00F807E4" w:rsidP="00F807E4">
            <w:pPr>
              <w:widowControl w:val="0"/>
              <w:spacing w:after="0"/>
              <w:rPr>
                <w:iCs/>
              </w:rPr>
            </w:pPr>
            <w:r w:rsidRPr="00F807E4">
              <w:rPr>
                <w:iCs/>
              </w:rPr>
              <w:t>-</w:t>
            </w:r>
            <w:r w:rsidRPr="00F807E4">
              <w:rPr>
                <w:iCs/>
              </w:rPr>
              <w:tab/>
              <w:t>Gosăpodării afectate de procesul de tranziție, conform PTJ (persoane disponibilizate, lucrătorilor din exploatările miniere, persoanelor aflate în căutarea unui loc de muncă, persoane cu venturi mici sau identificate ca fiind din categoria persoanelor vulnerabile)</w:t>
            </w:r>
          </w:p>
          <w:p w14:paraId="73057CD2" w14:textId="5000FC40" w:rsidR="00F807E4" w:rsidRPr="00F807E4" w:rsidRDefault="00F807E4" w:rsidP="00F807E4">
            <w:pPr>
              <w:widowControl w:val="0"/>
              <w:spacing w:after="0"/>
              <w:rPr>
                <w:iCs/>
              </w:rPr>
            </w:pPr>
            <w:r w:rsidRPr="00F807E4">
              <w:rPr>
                <w:iCs/>
              </w:rPr>
              <w:t>-</w:t>
            </w:r>
            <w:r w:rsidRPr="00F807E4">
              <w:rPr>
                <w:iCs/>
              </w:rPr>
              <w:tab/>
              <w:t>Gospodării identificate ca fiind în sărăcie energetică, care nu sunt conectate la rețeaua de distribuție</w:t>
            </w:r>
            <w:r w:rsidR="00D725FE">
              <w:rPr>
                <w:iCs/>
              </w:rPr>
              <w:t>/ SEN</w:t>
            </w:r>
            <w:r w:rsidRPr="00F807E4">
              <w:rPr>
                <w:iCs/>
              </w:rPr>
              <w:t>, nu au acces la alte surse de energie</w:t>
            </w:r>
          </w:p>
          <w:p w14:paraId="601F1018" w14:textId="34927090" w:rsidR="00F807E4" w:rsidRDefault="00F807E4" w:rsidP="00F807E4">
            <w:pPr>
              <w:widowControl w:val="0"/>
              <w:spacing w:after="0"/>
              <w:rPr>
                <w:iCs/>
              </w:rPr>
            </w:pPr>
            <w:r w:rsidRPr="00F807E4">
              <w:rPr>
                <w:iCs/>
              </w:rPr>
              <w:t>-</w:t>
            </w:r>
            <w:r w:rsidRPr="00F807E4">
              <w:rPr>
                <w:iCs/>
              </w:rPr>
              <w:tab/>
              <w:t>Alte criterii</w:t>
            </w:r>
          </w:p>
          <w:p w14:paraId="13BB821F" w14:textId="3A3FD4AF" w:rsidR="00095D1A" w:rsidRDefault="00095D1A" w:rsidP="00095D1A">
            <w:pPr>
              <w:widowControl w:val="0"/>
              <w:spacing w:after="0"/>
              <w:rPr>
                <w:b w:val="0"/>
                <w:bCs w:val="0"/>
                <w:iCs/>
              </w:rPr>
            </w:pPr>
            <w:r w:rsidRPr="00095D1A">
              <w:rPr>
                <w:iCs/>
              </w:rPr>
              <w:t>19.</w:t>
            </w:r>
            <w:r w:rsidRPr="00095D1A">
              <w:rPr>
                <w:b w:val="0"/>
                <w:bCs w:val="0"/>
                <w:iCs/>
              </w:rPr>
              <w:tab/>
            </w:r>
            <w:r w:rsidRPr="0041152A">
              <w:rPr>
                <w:iCs/>
              </w:rPr>
              <w:t>Lista de verificare privind asigurarea respectării Cartei drepturilor fundamentale a Uniunii Europene</w:t>
            </w:r>
            <w:r w:rsidRPr="00095D1A">
              <w:rPr>
                <w:b w:val="0"/>
                <w:bCs w:val="0"/>
                <w:iCs/>
              </w:rPr>
              <w:t xml:space="preserve">  -</w:t>
            </w:r>
            <w:r w:rsidR="008504A1">
              <w:rPr>
                <w:b w:val="0"/>
                <w:bCs w:val="0"/>
                <w:iCs/>
              </w:rPr>
              <w:t xml:space="preserve"> </w:t>
            </w:r>
            <w:r w:rsidR="008504A1" w:rsidRPr="008504A1">
              <w:rPr>
                <w:b w:val="0"/>
                <w:bCs w:val="0"/>
                <w:iCs/>
              </w:rPr>
              <w:t>Lista de verificare privind asigurarea respectării Cartei drepturilor fundamentale a Uniunii Europene  - Ghid de aplicare a Cartei drepturilor fundamentale a Uniunii Europene în implementarea fondurilor europene nerambursabile  aici .  Acest document completat și semnat se va depune de către solicitant cel târziu la semnarea contractului de finanțare.</w:t>
            </w:r>
            <w:r w:rsidRPr="00095D1A">
              <w:rPr>
                <w:b w:val="0"/>
                <w:bCs w:val="0"/>
                <w:iCs/>
              </w:rPr>
              <w:t>Alte documente explicative necesare pentru susținerea anumitor elemente din proiect, dacă este cazul</w:t>
            </w:r>
          </w:p>
          <w:p w14:paraId="358CCFDA" w14:textId="03AAB940" w:rsidR="00095D1A" w:rsidRPr="0041152A" w:rsidRDefault="0041152A">
            <w:pPr>
              <w:widowControl w:val="0"/>
              <w:spacing w:after="0"/>
              <w:rPr>
                <w:iCs/>
                <w:color w:val="1C6194" w:themeColor="accent6" w:themeShade="BF"/>
              </w:rPr>
            </w:pPr>
            <w:r w:rsidRPr="0041152A">
              <w:rPr>
                <w:iCs/>
                <w:color w:val="1C6194" w:themeColor="accent6" w:themeShade="BF"/>
              </w:rPr>
              <w:lastRenderedPageBreak/>
              <w:t>NOTĂ!</w:t>
            </w:r>
          </w:p>
          <w:p w14:paraId="7F05ECA0" w14:textId="5B475B48" w:rsidR="00095D1A" w:rsidRDefault="00095D1A">
            <w:pPr>
              <w:widowControl w:val="0"/>
              <w:spacing w:after="0"/>
              <w:rPr>
                <w:iCs/>
              </w:rPr>
            </w:pPr>
            <w:r>
              <w:rPr>
                <w:b w:val="0"/>
                <w:bCs w:val="0"/>
                <w:iCs/>
              </w:rPr>
              <w:t>După caz, se poate depune u</w:t>
            </w:r>
            <w:r w:rsidRPr="00095D1A">
              <w:rPr>
                <w:b w:val="0"/>
                <w:bCs w:val="0"/>
                <w:iCs/>
              </w:rPr>
              <w:t>ltima documentație tehnică economică întocmită, în conformitate cu prevederile legale în vigoare, pentru obiectivele de investiție ale proiectului, dar recepția acesteia nu poate fi mai cu mai mult de doi ani anterior depunerii cererii de finanțare</w:t>
            </w:r>
            <w:r>
              <w:rPr>
                <w:b w:val="0"/>
                <w:bCs w:val="0"/>
                <w:iCs/>
              </w:rPr>
              <w:t xml:space="preserve">. În această situație, aceasta va fi însoțită de  </w:t>
            </w:r>
            <w:r w:rsidRPr="00095D1A">
              <w:rPr>
                <w:b w:val="0"/>
                <w:bCs w:val="0"/>
                <w:iCs/>
              </w:rPr>
              <w:t xml:space="preserve">Raportul privind stadiul fizic al investiţiei (Anexa </w:t>
            </w:r>
            <w:r w:rsidR="00C573F2">
              <w:rPr>
                <w:b w:val="0"/>
                <w:bCs w:val="0"/>
                <w:iCs/>
              </w:rPr>
              <w:t>privind</w:t>
            </w:r>
            <w:r w:rsidRPr="00095D1A">
              <w:rPr>
                <w:b w:val="0"/>
                <w:bCs w:val="0"/>
                <w:iCs/>
              </w:rPr>
              <w:t xml:space="preserve"> Continutul-cadru al Raportului privind stadiul fizic al investitiei)</w:t>
            </w:r>
            <w:r>
              <w:rPr>
                <w:b w:val="0"/>
                <w:bCs w:val="0"/>
                <w:iCs/>
              </w:rPr>
              <w:t>.</w:t>
            </w:r>
          </w:p>
          <w:p w14:paraId="5246E80A" w14:textId="5B85D23D" w:rsidR="00095D1A" w:rsidRPr="00095D1A" w:rsidRDefault="00095D1A" w:rsidP="00095D1A">
            <w:pPr>
              <w:widowControl w:val="0"/>
              <w:spacing w:after="0"/>
              <w:rPr>
                <w:b w:val="0"/>
                <w:bCs w:val="0"/>
                <w:iCs/>
              </w:rPr>
            </w:pPr>
            <w:r w:rsidRPr="00095D1A">
              <w:rPr>
                <w:b w:val="0"/>
                <w:bCs w:val="0"/>
                <w:iCs/>
              </w:rPr>
              <w:t xml:space="preserve">Pentru proiectele de investiţii pentru care execuţia de lucrări a fost demarată însă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p>
          <w:p w14:paraId="59199E51" w14:textId="0540AA78" w:rsidR="00095D1A" w:rsidRDefault="00095D1A" w:rsidP="00095D1A">
            <w:pPr>
              <w:widowControl w:val="0"/>
              <w:spacing w:after="0"/>
              <w:rPr>
                <w:b w:val="0"/>
                <w:bCs w:val="0"/>
                <w:iCs/>
              </w:rPr>
            </w:pPr>
            <w:r w:rsidRPr="00095D1A">
              <w:rPr>
                <w:b w:val="0"/>
                <w:bCs w:val="0"/>
                <w:iCs/>
              </w:rPr>
              <w:t>Raportul respectiv va fi însoţit de devize generale detaliate ale: lucrărilor executate şi platite, lucrarilor executate şi neplătite şi respectiv lucrărilor rămase de executat.</w:t>
            </w:r>
          </w:p>
          <w:p w14:paraId="23F0E168" w14:textId="77777777" w:rsidR="00095D1A" w:rsidRDefault="00095D1A">
            <w:pPr>
              <w:widowControl w:val="0"/>
              <w:spacing w:after="0"/>
              <w:rPr>
                <w:b w:val="0"/>
                <w:bCs w:val="0"/>
                <w:iCs/>
              </w:rPr>
            </w:pPr>
          </w:p>
          <w:p w14:paraId="3EF65F37" w14:textId="77777777" w:rsidR="00095D1A" w:rsidRPr="00095D1A" w:rsidRDefault="00095D1A" w:rsidP="00095D1A">
            <w:pPr>
              <w:widowControl w:val="0"/>
              <w:spacing w:after="0"/>
              <w:rPr>
                <w:b w:val="0"/>
                <w:bCs w:val="0"/>
                <w:iCs/>
              </w:rPr>
            </w:pPr>
            <w:r w:rsidRPr="00095D1A">
              <w:rPr>
                <w:iCs/>
              </w:rPr>
              <w:t>ATENȚIE!</w:t>
            </w:r>
            <w:r w:rsidRPr="00095D1A">
              <w:rPr>
                <w:b w:val="0"/>
                <w:bCs w:val="0"/>
                <w:iCs/>
              </w:rPr>
              <w:t xml:space="preserve"> Documentațiile tehnico 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 (https://op.europa.eu/en/publication-detail/-/publication/23a24b21-16d0-11ec-b4fe-01aa75ed71a1/language-en)  cu modificările și completările ulterioare. </w:t>
            </w:r>
          </w:p>
          <w:p w14:paraId="0CAFA025" w14:textId="77777777" w:rsidR="00095D1A" w:rsidRPr="00095D1A" w:rsidRDefault="00095D1A" w:rsidP="00095D1A">
            <w:pPr>
              <w:widowControl w:val="0"/>
              <w:spacing w:after="0"/>
              <w:rPr>
                <w:b w:val="0"/>
                <w:bCs w:val="0"/>
                <w:iCs/>
              </w:rPr>
            </w:pPr>
          </w:p>
          <w:p w14:paraId="34124CC2" w14:textId="37DF5C61" w:rsidR="00095D1A" w:rsidRDefault="00095D1A" w:rsidP="00C573F2">
            <w:pPr>
              <w:widowControl w:val="0"/>
              <w:spacing w:after="0"/>
              <w:rPr>
                <w:b w:val="0"/>
                <w:bCs w:val="0"/>
                <w:iCs/>
              </w:rPr>
            </w:pPr>
            <w:r w:rsidRPr="00C573F2">
              <w:rPr>
                <w:iCs/>
              </w:rPr>
              <w:t>IMPORTANT!</w:t>
            </w:r>
            <w:r w:rsidRPr="00095D1A">
              <w:rPr>
                <w:b w:val="0"/>
                <w:bCs w:val="0"/>
                <w:iCs/>
              </w:rPr>
              <w:t xml:space="preserve"> 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(https://op.europa.eu/en/publication-detail/-/publication/23a24b21-16d0-11ec-b4fe-01aa75ed71a1/language-en)</w:t>
            </w:r>
          </w:p>
          <w:p w14:paraId="5B64C849" w14:textId="39C768F3" w:rsidR="00095D1A" w:rsidRPr="00095D1A" w:rsidRDefault="00095D1A" w:rsidP="00C573F2">
            <w:pPr>
              <w:widowControl w:val="0"/>
              <w:spacing w:after="0"/>
              <w:rPr>
                <w:b w:val="0"/>
                <w:bCs w:val="0"/>
                <w:iCs/>
              </w:rPr>
            </w:pPr>
            <w:r w:rsidRPr="00095D1A">
              <w:rPr>
                <w:iCs/>
              </w:rPr>
              <w:t>20.</w:t>
            </w:r>
            <w:r w:rsidRPr="00095D1A">
              <w:rPr>
                <w:b w:val="0"/>
                <w:bCs w:val="0"/>
                <w:iCs/>
              </w:rPr>
              <w:tab/>
            </w:r>
            <w:r w:rsidRPr="0041152A">
              <w:rPr>
                <w:iCs/>
              </w:rPr>
              <w:t>Raport de expertiza tehnică  a clădirii la acțiuni seismice</w:t>
            </w:r>
            <w:r w:rsidR="00C573F2">
              <w:rPr>
                <w:iCs/>
              </w:rPr>
              <w:t xml:space="preserve"> (pentru clădi</w:t>
            </w:r>
            <w:r w:rsidR="004C68BF">
              <w:rPr>
                <w:iCs/>
              </w:rPr>
              <w:t>r</w:t>
            </w:r>
            <w:r w:rsidR="00C573F2">
              <w:rPr>
                <w:iCs/>
              </w:rPr>
              <w:t>i cu peste 2 niveluri)</w:t>
            </w:r>
            <w:r w:rsidRPr="00095D1A">
              <w:rPr>
                <w:b w:val="0"/>
                <w:bCs w:val="0"/>
                <w:iCs/>
              </w:rPr>
              <w:t xml:space="preserve"> (pentru fiecare componentă /clădire în parte), dacă este cazul </w:t>
            </w:r>
          </w:p>
          <w:p w14:paraId="44648D1C" w14:textId="6F1C9722" w:rsidR="00095D1A" w:rsidRPr="00095D1A" w:rsidRDefault="00095D1A" w:rsidP="00095D1A">
            <w:pPr>
              <w:widowControl w:val="0"/>
              <w:spacing w:after="0"/>
              <w:rPr>
                <w:b w:val="0"/>
                <w:bCs w:val="0"/>
                <w:iCs/>
              </w:rPr>
            </w:pPr>
            <w:r w:rsidRPr="00095D1A">
              <w:rPr>
                <w:b w:val="0"/>
                <w:bCs w:val="0"/>
                <w:iCs/>
              </w:rPr>
              <w:t>În cazul în care sistemele de producere a energiei utilizând surse regenerabile vor fi montate, conform soluției tehnice, pe clădire la cererea de finanțare se va anexa expertiza tehnică</w:t>
            </w:r>
            <w:r w:rsidR="00C573F2">
              <w:rPr>
                <w:b w:val="0"/>
                <w:bCs w:val="0"/>
                <w:iCs/>
              </w:rPr>
              <w:t>.</w:t>
            </w:r>
          </w:p>
          <w:p w14:paraId="33EC2F99" w14:textId="704B9659" w:rsidR="00095D1A" w:rsidRDefault="00095D1A" w:rsidP="00F32CF8">
            <w:pPr>
              <w:widowControl w:val="0"/>
              <w:spacing w:after="0"/>
              <w:rPr>
                <w:b w:val="0"/>
                <w:bCs w:val="0"/>
                <w:iCs/>
              </w:rPr>
            </w:pPr>
            <w:r w:rsidRPr="00095D1A">
              <w:rPr>
                <w:b w:val="0"/>
                <w:bCs w:val="0"/>
                <w:iCs/>
              </w:rPr>
              <w:t>Expertiza tehnică va confirma că imobilul nu este încadrat în clasa I sau II de risc seismic, respectiv clădiri cu risc ridicat de prăbușire şi la care nu se află în curs de execuție lucrări de intervenție pentru creșterea nivelului de siguranță la acțiuni seismice ale construcției existente</w:t>
            </w:r>
            <w:r w:rsidR="00F32CF8">
              <w:rPr>
                <w:b w:val="0"/>
                <w:bCs w:val="0"/>
                <w:iCs/>
              </w:rPr>
              <w:t>.</w:t>
            </w:r>
          </w:p>
          <w:p w14:paraId="459FA8AC" w14:textId="3B474FA6" w:rsidR="00E4634B" w:rsidRPr="00E4634B" w:rsidRDefault="007B01F5" w:rsidP="00E4634B">
            <w:pPr>
              <w:widowControl w:val="0"/>
              <w:spacing w:after="0"/>
              <w:rPr>
                <w:b w:val="0"/>
                <w:bCs w:val="0"/>
                <w:iCs/>
              </w:rPr>
            </w:pPr>
            <w:r w:rsidRPr="007B01F5">
              <w:rPr>
                <w:iCs/>
              </w:rPr>
              <w:t>21.</w:t>
            </w:r>
            <w:r w:rsidRPr="007B01F5">
              <w:rPr>
                <w:b w:val="0"/>
                <w:bCs w:val="0"/>
                <w:iCs/>
              </w:rPr>
              <w:tab/>
            </w:r>
            <w:r w:rsidRPr="007B01F5">
              <w:rPr>
                <w:iCs/>
              </w:rPr>
              <w:t xml:space="preserve">Lista </w:t>
            </w:r>
            <w:r w:rsidR="00C573F2">
              <w:rPr>
                <w:iCs/>
              </w:rPr>
              <w:t xml:space="preserve">de angajament </w:t>
            </w:r>
            <w:r w:rsidR="004C68BF">
              <w:rPr>
                <w:iCs/>
              </w:rPr>
              <w:t xml:space="preserve">care cuprinde analiza energetică, </w:t>
            </w:r>
            <w:r w:rsidRPr="007B01F5">
              <w:rPr>
                <w:iCs/>
              </w:rPr>
              <w:t>aprobată prin HCL/HCJ</w:t>
            </w:r>
            <w:r w:rsidRPr="007B01F5">
              <w:rPr>
                <w:b w:val="0"/>
                <w:bCs w:val="0"/>
                <w:iCs/>
              </w:rPr>
              <w:t>, care cuprinde gospodăriile (reprezentanții acestora, punctul de consum și media de consum din ultimele 12 luni, etc.) care și-au  exprimat intenția de a beneficia de finanțare în perspectiva constituirii  comunității de energie din surse regenerabile.</w:t>
            </w:r>
          </w:p>
          <w:p w14:paraId="798B2142" w14:textId="7713DE96" w:rsidR="00095D1A" w:rsidRDefault="007B01F5" w:rsidP="007B01F5">
            <w:pPr>
              <w:widowControl w:val="0"/>
              <w:spacing w:after="0"/>
              <w:rPr>
                <w:b w:val="0"/>
                <w:bCs w:val="0"/>
                <w:iCs/>
              </w:rPr>
            </w:pPr>
            <w:r w:rsidRPr="007B01F5">
              <w:rPr>
                <w:b w:val="0"/>
                <w:bCs w:val="0"/>
                <w:iCs/>
              </w:rPr>
              <w:t xml:space="preserve">Proiectele pot cuprinde măsuri privind producția de energie din RES pentru unul sau mai multe imobile.  Acolo unde proiectul prevede mai multe puncte de consum, </w:t>
            </w:r>
            <w:r>
              <w:rPr>
                <w:b w:val="0"/>
                <w:bCs w:val="0"/>
                <w:iCs/>
              </w:rPr>
              <w:t>lista va cuprinde</w:t>
            </w:r>
            <w:r w:rsidRPr="007B01F5">
              <w:rPr>
                <w:b w:val="0"/>
                <w:bCs w:val="0"/>
                <w:iCs/>
              </w:rPr>
              <w:t xml:space="preserve"> </w:t>
            </w:r>
            <w:bookmarkStart w:id="180" w:name="_Hlk213341760"/>
            <w:r w:rsidRPr="007B01F5">
              <w:rPr>
                <w:b w:val="0"/>
                <w:bCs w:val="0"/>
                <w:iCs/>
              </w:rPr>
              <w:t>soluția</w:t>
            </w:r>
            <w:r>
              <w:rPr>
                <w:b w:val="0"/>
                <w:bCs w:val="0"/>
                <w:iCs/>
              </w:rPr>
              <w:t xml:space="preserve"> tehnică</w:t>
            </w:r>
            <w:r w:rsidRPr="007B01F5">
              <w:rPr>
                <w:b w:val="0"/>
                <w:bCs w:val="0"/>
                <w:iCs/>
              </w:rPr>
              <w:t xml:space="preserve"> adaptată pentru fiecare în parte</w:t>
            </w:r>
            <w:bookmarkEnd w:id="180"/>
            <w:r w:rsidRPr="007B01F5">
              <w:rPr>
                <w:b w:val="0"/>
                <w:bCs w:val="0"/>
                <w:iCs/>
              </w:rPr>
              <w:t xml:space="preserve">, </w:t>
            </w:r>
            <w:r>
              <w:rPr>
                <w:b w:val="0"/>
                <w:bCs w:val="0"/>
                <w:iCs/>
              </w:rPr>
              <w:t xml:space="preserve">media de consum pentru ultimele 12 luni, necesarul de consum estimat conform mediei de consum,  </w:t>
            </w:r>
            <w:bookmarkStart w:id="181" w:name="_Hlk213341774"/>
            <w:r>
              <w:rPr>
                <w:b w:val="0"/>
                <w:bCs w:val="0"/>
                <w:iCs/>
              </w:rPr>
              <w:t>ATR</w:t>
            </w:r>
            <w:bookmarkEnd w:id="181"/>
            <w:r>
              <w:rPr>
                <w:b w:val="0"/>
                <w:bCs w:val="0"/>
                <w:iCs/>
              </w:rPr>
              <w:t xml:space="preserve">, iar </w:t>
            </w:r>
            <w:r w:rsidRPr="007B01F5">
              <w:rPr>
                <w:b w:val="0"/>
                <w:bCs w:val="0"/>
                <w:iCs/>
              </w:rPr>
              <w:t xml:space="preserve">racordarea se va realiza la fiecare punct de consum. De asemenea, </w:t>
            </w:r>
            <w:bookmarkStart w:id="182" w:name="_Hlk213341878"/>
            <w:r w:rsidRPr="007B01F5">
              <w:rPr>
                <w:b w:val="0"/>
                <w:bCs w:val="0"/>
                <w:iCs/>
              </w:rPr>
              <w:t>se vor evidenția indicatorii și costurile pentru fiecare punct de consum</w:t>
            </w:r>
            <w:bookmarkEnd w:id="182"/>
            <w:r w:rsidRPr="007B01F5">
              <w:rPr>
                <w:b w:val="0"/>
                <w:bCs w:val="0"/>
                <w:iCs/>
              </w:rPr>
              <w:t>. Prin urmare, beneficiarii vor depune împreună cu documentația proiectului câte o analiză pentru fiecare loc de consum în parte</w:t>
            </w:r>
            <w:r>
              <w:rPr>
                <w:b w:val="0"/>
                <w:bCs w:val="0"/>
                <w:iCs/>
              </w:rPr>
              <w:t xml:space="preserve"> (conform celor menționate mai sus)</w:t>
            </w:r>
            <w:r w:rsidRPr="007B01F5">
              <w:rPr>
                <w:b w:val="0"/>
                <w:bCs w:val="0"/>
                <w:iCs/>
              </w:rPr>
              <w:t xml:space="preserve"> şi o analiză </w:t>
            </w:r>
            <w:r w:rsidR="00C573F2">
              <w:rPr>
                <w:b w:val="0"/>
                <w:bCs w:val="0"/>
                <w:iCs/>
              </w:rPr>
              <w:t>privind necesarul de consum</w:t>
            </w:r>
            <w:r w:rsidRPr="007B01F5">
              <w:rPr>
                <w:b w:val="0"/>
                <w:bCs w:val="0"/>
                <w:iCs/>
              </w:rPr>
              <w:t xml:space="preserve"> agregată</w:t>
            </w:r>
            <w:r w:rsidR="00C573F2">
              <w:rPr>
                <w:b w:val="0"/>
                <w:bCs w:val="0"/>
                <w:iCs/>
              </w:rPr>
              <w:t>,</w:t>
            </w:r>
            <w:r>
              <w:rPr>
                <w:b w:val="0"/>
                <w:bCs w:val="0"/>
                <w:iCs/>
              </w:rPr>
              <w:t xml:space="preserve"> din care să reiasă faptul că nu se depășește capacitatea stabilită prin GS</w:t>
            </w:r>
            <w:r w:rsidRPr="007B01F5">
              <w:rPr>
                <w:b w:val="0"/>
                <w:bCs w:val="0"/>
                <w:iCs/>
              </w:rPr>
              <w:t>. Cea din urmă va cuprinde analiza agregată atât a consumului de energie cât şi a soluțiilor tehnice propuse pentru investiție (consum energetic agregat, costuri agregate, indicatori agregați etc).</w:t>
            </w:r>
          </w:p>
          <w:p w14:paraId="49FEE208" w14:textId="6AF89356" w:rsidR="0041152A" w:rsidRPr="0041152A" w:rsidRDefault="0041152A" w:rsidP="0041152A">
            <w:pPr>
              <w:widowControl w:val="0"/>
              <w:spacing w:after="0"/>
              <w:rPr>
                <w:b w:val="0"/>
                <w:bCs w:val="0"/>
                <w:iCs/>
              </w:rPr>
            </w:pPr>
            <w:r>
              <w:rPr>
                <w:b w:val="0"/>
                <w:bCs w:val="0"/>
                <w:iCs/>
              </w:rPr>
              <w:lastRenderedPageBreak/>
              <w:t>22</w:t>
            </w:r>
            <w:r w:rsidRPr="0041152A">
              <w:rPr>
                <w:b w:val="0"/>
                <w:bCs w:val="0"/>
                <w:iCs/>
              </w:rPr>
              <w:t>.</w:t>
            </w:r>
            <w:r w:rsidRPr="0041152A">
              <w:rPr>
                <w:b w:val="0"/>
                <w:bCs w:val="0"/>
                <w:iCs/>
              </w:rPr>
              <w:tab/>
            </w:r>
            <w:r w:rsidRPr="0041152A">
              <w:rPr>
                <w:iCs/>
              </w:rPr>
              <w:t>Aviz Tehnic de Racordare pentru locurile de consum analizate</w:t>
            </w:r>
          </w:p>
          <w:p w14:paraId="1C55195B" w14:textId="6E95D222" w:rsidR="00095D1A" w:rsidRDefault="0041152A" w:rsidP="0041152A">
            <w:pPr>
              <w:widowControl w:val="0"/>
              <w:spacing w:after="0"/>
              <w:rPr>
                <w:b w:val="0"/>
                <w:bCs w:val="0"/>
                <w:iCs/>
              </w:rPr>
            </w:pPr>
            <w:r w:rsidRPr="0041152A">
              <w:rPr>
                <w:b w:val="0"/>
                <w:bCs w:val="0"/>
                <w:iCs/>
              </w:rPr>
              <w:t>Este necesar ca locul/locurile de consum analizate să fie conectate la Sistemul Energetic Naţional în baza unui Aviz Tehnic de Racordare (ATR). Depunerea avizului tehnic de racordare este obligatorie odată cu depunerea Cererii de finanțare. În cazul în care cererea de finanţare include investiții pentru mai multe locuri de consum beneficiarul va atașa ATR pentru fiecare loc de consum în parte. În cazul în care capacitatea de producere a energiei din SRE propusă pentru investiție nu se încadrează în condițiile tehnice de racordare a locului de consum la SEN (conform ATR) atunci beneficiarul va solicita Operatorului de Distribuție un nou ATR care să probeze fezabilitatea tehnică a proiectului</w:t>
            </w:r>
            <w:r w:rsidR="00F32CF8">
              <w:rPr>
                <w:b w:val="0"/>
                <w:bCs w:val="0"/>
                <w:iCs/>
              </w:rPr>
              <w:t>.</w:t>
            </w:r>
          </w:p>
          <w:p w14:paraId="4E18AA71" w14:textId="6B670487" w:rsidR="0041152A" w:rsidRPr="0041152A" w:rsidRDefault="0041152A" w:rsidP="0041152A">
            <w:pPr>
              <w:widowControl w:val="0"/>
              <w:spacing w:after="0"/>
              <w:rPr>
                <w:iCs/>
              </w:rPr>
            </w:pPr>
            <w:r>
              <w:rPr>
                <w:b w:val="0"/>
                <w:bCs w:val="0"/>
                <w:iCs/>
              </w:rPr>
              <w:t>23</w:t>
            </w:r>
            <w:r w:rsidRPr="0041152A">
              <w:rPr>
                <w:b w:val="0"/>
                <w:bCs w:val="0"/>
                <w:iCs/>
              </w:rPr>
              <w:t>.</w:t>
            </w:r>
            <w:r w:rsidRPr="0041152A">
              <w:rPr>
                <w:b w:val="0"/>
                <w:bCs w:val="0"/>
                <w:iCs/>
              </w:rPr>
              <w:tab/>
            </w:r>
            <w:r w:rsidRPr="0041152A">
              <w:rPr>
                <w:iCs/>
              </w:rPr>
              <w:t>Aviz Tehnic de Racordare pentru locul/locurile de producere și de stocare</w:t>
            </w:r>
          </w:p>
          <w:p w14:paraId="234F9874" w14:textId="77777777" w:rsidR="0041152A" w:rsidRPr="0041152A" w:rsidRDefault="0041152A" w:rsidP="0041152A">
            <w:pPr>
              <w:widowControl w:val="0"/>
              <w:spacing w:after="0"/>
              <w:rPr>
                <w:b w:val="0"/>
                <w:bCs w:val="0"/>
                <w:iCs/>
              </w:rPr>
            </w:pPr>
            <w:r w:rsidRPr="0041152A">
              <w:rPr>
                <w:b w:val="0"/>
                <w:bCs w:val="0"/>
                <w:iCs/>
              </w:rPr>
              <w:t>Dacă este necesară conectarea locurilor de producție/stocare la sistemul energetic național se va depune ATR pentru locul/locurile de producere și de stocare</w:t>
            </w:r>
          </w:p>
          <w:p w14:paraId="54B7CC19" w14:textId="504F2AE2" w:rsidR="0041152A" w:rsidRPr="0041152A" w:rsidRDefault="0041152A" w:rsidP="00C573F2">
            <w:pPr>
              <w:widowControl w:val="0"/>
              <w:spacing w:after="0"/>
              <w:rPr>
                <w:b w:val="0"/>
                <w:bCs w:val="0"/>
                <w:iCs/>
              </w:rPr>
            </w:pPr>
            <w:r w:rsidRPr="0041152A">
              <w:rPr>
                <w:b w:val="0"/>
                <w:bCs w:val="0"/>
                <w:iCs/>
              </w:rPr>
              <w:t>Depunerea avizului tehnic de racordare pentru locul/locurile de producere și de stocare nu este obligatorie odată cu depunerea Cererii de finanțare dar depunerea avizului este obligatorie la încheierea contractului de finanțare</w:t>
            </w:r>
          </w:p>
          <w:p w14:paraId="535EB4A0" w14:textId="082D0CD4" w:rsidR="0041152A" w:rsidRPr="0041152A" w:rsidRDefault="0041152A" w:rsidP="00C573F2">
            <w:pPr>
              <w:widowControl w:val="0"/>
              <w:spacing w:after="0"/>
              <w:rPr>
                <w:b w:val="0"/>
                <w:bCs w:val="0"/>
                <w:iCs/>
              </w:rPr>
            </w:pPr>
            <w:r>
              <w:rPr>
                <w:b w:val="0"/>
                <w:bCs w:val="0"/>
                <w:iCs/>
              </w:rPr>
              <w:t>24</w:t>
            </w:r>
            <w:r w:rsidRPr="0041152A">
              <w:rPr>
                <w:b w:val="0"/>
                <w:bCs w:val="0"/>
                <w:iCs/>
              </w:rPr>
              <w:t>.</w:t>
            </w:r>
            <w:r w:rsidRPr="0041152A">
              <w:rPr>
                <w:b w:val="0"/>
                <w:bCs w:val="0"/>
                <w:iCs/>
              </w:rPr>
              <w:tab/>
            </w:r>
            <w:r w:rsidRPr="0041152A">
              <w:rPr>
                <w:iCs/>
              </w:rPr>
              <w:t>Certificatul de urbanism sau Autorizația de construire</w:t>
            </w:r>
            <w:r w:rsidRPr="0041152A">
              <w:rPr>
                <w:b w:val="0"/>
                <w:bCs w:val="0"/>
                <w:iCs/>
              </w:rPr>
              <w:t>, acolo unde este cazul (emis/ă la nivel de proiect sau pentru fiecare componentă în parte din cadrul proiectului).</w:t>
            </w:r>
          </w:p>
          <w:p w14:paraId="73444825" w14:textId="77777777" w:rsidR="0041152A" w:rsidRPr="0041152A" w:rsidRDefault="0041152A" w:rsidP="0041152A">
            <w:pPr>
              <w:widowControl w:val="0"/>
              <w:spacing w:after="0"/>
              <w:rPr>
                <w:b w:val="0"/>
                <w:bCs w:val="0"/>
                <w:iCs/>
              </w:rPr>
            </w:pPr>
            <w:r w:rsidRPr="0041152A">
              <w:rPr>
                <w:b w:val="0"/>
                <w:bCs w:val="0"/>
                <w:iCs/>
              </w:rPr>
              <w:t>Certificatul de urbanism anexat la cererea de finanţare trebuie să fie cel eliberat în vederea obținerii autorizației de construire pentru proiectul aferent cererii de finanțare depuse și trebuie să fie valabil la data depunerii cererii de finanţare.</w:t>
            </w:r>
          </w:p>
          <w:p w14:paraId="1D90B478" w14:textId="77777777" w:rsidR="0041152A" w:rsidRPr="0041152A" w:rsidRDefault="0041152A" w:rsidP="0041152A">
            <w:pPr>
              <w:widowControl w:val="0"/>
              <w:spacing w:after="0"/>
              <w:rPr>
                <w:b w:val="0"/>
                <w:bCs w:val="0"/>
                <w:iCs/>
              </w:rPr>
            </w:pPr>
            <w:r w:rsidRPr="0041152A">
              <w:rPr>
                <w:b w:val="0"/>
                <w:bCs w:val="0"/>
                <w:iCs/>
              </w:rPr>
              <w:t>De asemenea, se atașează avizele și acordurile, obținute până la data depunerii cererii de finanțare.</w:t>
            </w:r>
          </w:p>
          <w:p w14:paraId="53683157" w14:textId="77777777" w:rsidR="0041152A" w:rsidRPr="0041152A" w:rsidRDefault="0041152A" w:rsidP="0041152A">
            <w:pPr>
              <w:widowControl w:val="0"/>
              <w:spacing w:after="0"/>
              <w:rPr>
                <w:b w:val="0"/>
                <w:bCs w:val="0"/>
                <w:iCs/>
              </w:rPr>
            </w:pPr>
          </w:p>
          <w:p w14:paraId="5F39B6F6" w14:textId="77777777" w:rsidR="0041152A" w:rsidRPr="0041152A" w:rsidRDefault="0041152A" w:rsidP="0041152A">
            <w:pPr>
              <w:widowControl w:val="0"/>
              <w:spacing w:after="0"/>
              <w:rPr>
                <w:b w:val="0"/>
                <w:bCs w:val="0"/>
                <w:iCs/>
              </w:rPr>
            </w:pPr>
            <w:r w:rsidRPr="0041152A">
              <w:rPr>
                <w:b w:val="0"/>
                <w:bCs w:val="0"/>
                <w:iCs/>
              </w:rPr>
              <w:t xml:space="preserve">În cazul proiectelor care cuprind mai multe clădiri (componente), se poate anexa </w:t>
            </w:r>
          </w:p>
          <w:p w14:paraId="442CEBD6" w14:textId="77777777" w:rsidR="0041152A" w:rsidRPr="0041152A" w:rsidRDefault="0041152A" w:rsidP="0041152A">
            <w:pPr>
              <w:widowControl w:val="0"/>
              <w:spacing w:after="0"/>
              <w:rPr>
                <w:b w:val="0"/>
                <w:bCs w:val="0"/>
                <w:iCs/>
              </w:rPr>
            </w:pPr>
            <w:r w:rsidRPr="0041152A">
              <w:rPr>
                <w:b w:val="0"/>
                <w:bCs w:val="0"/>
                <w:iCs/>
              </w:rPr>
              <w:t>o</w:t>
            </w:r>
            <w:r w:rsidRPr="0041152A">
              <w:rPr>
                <w:b w:val="0"/>
                <w:bCs w:val="0"/>
                <w:iCs/>
              </w:rPr>
              <w:tab/>
              <w:t xml:space="preserve">fie un singur certificat de urbanism/ o singură autorizație de construire la nivel de proiect, conform legislației în vigoare, </w:t>
            </w:r>
          </w:p>
          <w:p w14:paraId="0A603CDF" w14:textId="77777777" w:rsidR="0041152A" w:rsidRPr="0041152A" w:rsidRDefault="0041152A" w:rsidP="0041152A">
            <w:pPr>
              <w:widowControl w:val="0"/>
              <w:spacing w:after="0"/>
              <w:rPr>
                <w:b w:val="0"/>
                <w:bCs w:val="0"/>
                <w:iCs/>
              </w:rPr>
            </w:pPr>
            <w:r w:rsidRPr="0041152A">
              <w:rPr>
                <w:b w:val="0"/>
                <w:bCs w:val="0"/>
                <w:iCs/>
              </w:rPr>
              <w:t>o</w:t>
            </w:r>
            <w:r w:rsidRPr="0041152A">
              <w:rPr>
                <w:b w:val="0"/>
                <w:bCs w:val="0"/>
                <w:iCs/>
              </w:rPr>
              <w:tab/>
              <w:t>fie certificate de urbanism/ autorizații de construire distincte pentru fiecare în parte din cadrul proiectului, conform legislației în vigoare.</w:t>
            </w:r>
          </w:p>
          <w:p w14:paraId="4C546ADF" w14:textId="77777777" w:rsidR="0041152A" w:rsidRPr="0041152A" w:rsidRDefault="0041152A" w:rsidP="0041152A">
            <w:pPr>
              <w:widowControl w:val="0"/>
              <w:spacing w:after="0"/>
              <w:ind w:left="0"/>
              <w:rPr>
                <w:b w:val="0"/>
                <w:bCs w:val="0"/>
                <w:iCs/>
              </w:rPr>
            </w:pPr>
          </w:p>
          <w:p w14:paraId="16CD4C29" w14:textId="5D94C367" w:rsidR="00095D1A" w:rsidRDefault="0041152A" w:rsidP="0041152A">
            <w:pPr>
              <w:widowControl w:val="0"/>
              <w:spacing w:after="0"/>
              <w:rPr>
                <w:iCs/>
              </w:rPr>
            </w:pPr>
            <w:r w:rsidRPr="0041152A">
              <w:rPr>
                <w:b w:val="0"/>
                <w:bCs w:val="0"/>
                <w:iCs/>
              </w:rPr>
              <w:t>În cazul în care se depune autorizația de construire, nu mai este obligatoriu ca certificatul de urbanism să fie în termen de valabilitate.</w:t>
            </w:r>
          </w:p>
          <w:p w14:paraId="0321FC4B" w14:textId="77777777" w:rsidR="00B17024" w:rsidRDefault="00B17024" w:rsidP="0041152A">
            <w:pPr>
              <w:widowControl w:val="0"/>
              <w:spacing w:after="0"/>
              <w:rPr>
                <w:iCs/>
              </w:rPr>
            </w:pPr>
          </w:p>
          <w:p w14:paraId="6D94BFDA" w14:textId="3435D7A2" w:rsidR="00B17024" w:rsidRPr="00B17024" w:rsidRDefault="00B17024" w:rsidP="00B17024">
            <w:pPr>
              <w:widowControl w:val="0"/>
              <w:spacing w:after="0"/>
              <w:ind w:left="2520" w:hanging="1740"/>
              <w:rPr>
                <w:iCs/>
              </w:rPr>
            </w:pPr>
            <w:r>
              <w:rPr>
                <w:iCs/>
              </w:rPr>
              <w:t xml:space="preserve">25. </w:t>
            </w:r>
            <w:r w:rsidRPr="00B17024">
              <w:rPr>
                <w:iCs/>
              </w:rPr>
              <w:t>Documente privind drepturile asupra infrastructurii care face obiectul proiectului</w:t>
            </w:r>
          </w:p>
          <w:p w14:paraId="7E90FF8F" w14:textId="77777777" w:rsidR="00B17024" w:rsidRDefault="00B17024" w:rsidP="00B17024">
            <w:pPr>
              <w:widowControl w:val="0"/>
              <w:spacing w:before="0" w:after="0"/>
              <w:ind w:left="0"/>
              <w:rPr>
                <w:iCs/>
                <w:color w:val="FF0000"/>
              </w:rPr>
            </w:pPr>
          </w:p>
          <w:p w14:paraId="1BA90A69" w14:textId="77777777" w:rsidR="00B17024" w:rsidRDefault="00B17024" w:rsidP="00B17024">
            <w:r>
              <w:t>Drepturile mai jos menționate. trebuie dovedite începând cu data depunerii cererii de finanțare.</w:t>
            </w:r>
          </w:p>
          <w:p w14:paraId="3F01228E" w14:textId="77777777" w:rsidR="00B17024" w:rsidRDefault="00B17024" w:rsidP="00B17024"/>
          <w:p w14:paraId="29977535" w14:textId="0E02EF31" w:rsidR="00B17024" w:rsidRDefault="00B17024">
            <w:pPr>
              <w:numPr>
                <w:ilvl w:val="0"/>
                <w:numId w:val="29"/>
              </w:numPr>
              <w:spacing w:before="0" w:after="0"/>
              <w:rPr>
                <w:i/>
                <w:u w:val="single"/>
              </w:rPr>
            </w:pPr>
            <w:r>
              <w:rPr>
                <w:i/>
                <w:u w:val="single"/>
              </w:rPr>
              <w:t>Pentru dovedirea dreptului de proprietate publică/privată asupra imobilelor</w:t>
            </w:r>
            <w:r w:rsidR="002E5930">
              <w:rPr>
                <w:i/>
                <w:u w:val="single"/>
              </w:rPr>
              <w:t xml:space="preserve"> (atât clădiri publice), cât și proprietate privată ( gospodării individuale)</w:t>
            </w:r>
            <w:r>
              <w:rPr>
                <w:i/>
                <w:u w:val="single"/>
              </w:rPr>
              <w:t xml:space="preserve"> se vor anexa următoarele documente:</w:t>
            </w:r>
          </w:p>
          <w:p w14:paraId="32784101" w14:textId="77777777" w:rsidR="00B17024" w:rsidRDefault="00B17024">
            <w:pPr>
              <w:numPr>
                <w:ilvl w:val="0"/>
                <w:numId w:val="30"/>
              </w:numPr>
              <w:spacing w:before="0" w:after="0"/>
            </w:pPr>
            <w:r>
              <w:rPr>
                <w:b w:val="0"/>
              </w:rPr>
              <w:t xml:space="preserve">Extras de carte funciară, emis cu maximum 30 de zile înaintea depunerii, din care să rezulte intabularea imobilului și absența sarcinilor incompatibile cu investiția. </w:t>
            </w:r>
          </w:p>
          <w:p w14:paraId="4A629988" w14:textId="77777777" w:rsidR="00B17024" w:rsidRDefault="00B17024">
            <w:pPr>
              <w:numPr>
                <w:ilvl w:val="0"/>
                <w:numId w:val="30"/>
              </w:numPr>
              <w:spacing w:before="0" w:after="0"/>
            </w:pPr>
            <w:r>
              <w:rPr>
                <w:b w:val="0"/>
              </w:rPr>
              <w:t>Planul de amplasament vizat de OCPI</w:t>
            </w:r>
          </w:p>
          <w:p w14:paraId="43A8CBE6" w14:textId="219ED97C" w:rsidR="00B17024" w:rsidRDefault="00B17024">
            <w:pPr>
              <w:numPr>
                <w:ilvl w:val="0"/>
                <w:numId w:val="30"/>
              </w:numPr>
              <w:spacing w:before="0" w:after="0"/>
            </w:pPr>
            <w:r>
              <w:rPr>
                <w:b w:val="0"/>
              </w:rPr>
              <w:t>Tabelul centralizator asupra numerelor cadastrale, obiectivele de investiție asupra cărora se realizează în cadrul acestora, precum și suprafețele aferente – conform modelului anexat Ghidului solicitantului</w:t>
            </w:r>
            <w:r w:rsidR="002E5930">
              <w:rPr>
                <w:b w:val="0"/>
              </w:rPr>
              <w:t>.</w:t>
            </w:r>
            <w:r>
              <w:rPr>
                <w:b w:val="0"/>
              </w:rPr>
              <w:t xml:space="preserve"> </w:t>
            </w:r>
          </w:p>
          <w:p w14:paraId="3DA31A0F" w14:textId="0B899279" w:rsidR="00B17024" w:rsidRDefault="00B17024">
            <w:pPr>
              <w:pStyle w:val="ListParagraph"/>
              <w:numPr>
                <w:ilvl w:val="0"/>
                <w:numId w:val="29"/>
              </w:numPr>
              <w:spacing w:before="0" w:after="0"/>
              <w:rPr>
                <w:i/>
                <w:u w:val="single"/>
              </w:rPr>
            </w:pPr>
            <w:r>
              <w:rPr>
                <w:i/>
                <w:u w:val="single"/>
              </w:rPr>
              <w:t>Pentru dovedirea dreptului de administrare/concesiune asupra imobilelor (doar în cazul clădirilor publice), se vor anexa următoarele documente:</w:t>
            </w:r>
          </w:p>
          <w:p w14:paraId="352B93AE" w14:textId="77777777" w:rsidR="00B17024" w:rsidRDefault="00B17024">
            <w:pPr>
              <w:numPr>
                <w:ilvl w:val="0"/>
                <w:numId w:val="31"/>
              </w:numPr>
              <w:spacing w:before="0" w:after="0"/>
            </w:pPr>
            <w:r>
              <w:rPr>
                <w:b w:val="0"/>
              </w:rPr>
              <w:lastRenderedPageBreak/>
              <w:t>Extras de carte funciară, emis cu maximum 30 de zile înaintea depunerii, din care să rezulte intabularea imobilului și înscrierea dreptului de administrare/concesiune/superficie și absența sarcinilor incompatibile cu investiția</w:t>
            </w:r>
          </w:p>
          <w:p w14:paraId="63CD5911" w14:textId="77777777" w:rsidR="00B17024" w:rsidRDefault="00B17024">
            <w:pPr>
              <w:numPr>
                <w:ilvl w:val="0"/>
                <w:numId w:val="31"/>
              </w:numPr>
              <w:spacing w:before="0" w:after="0"/>
            </w:pPr>
            <w:r>
              <w:rPr>
                <w:b w:val="0"/>
              </w:rPr>
              <w:t>Planul de amplasament vizat de OCPI</w:t>
            </w:r>
          </w:p>
          <w:p w14:paraId="57DEDFBB" w14:textId="77777777" w:rsidR="00B17024" w:rsidRDefault="00B17024">
            <w:pPr>
              <w:numPr>
                <w:ilvl w:val="0"/>
                <w:numId w:val="31"/>
              </w:numPr>
              <w:spacing w:before="0" w:after="0"/>
            </w:pPr>
            <w:r>
              <w:rPr>
                <w:b w:val="0"/>
              </w:rPr>
              <w:t xml:space="preserve">Tabelul centralizator asupra numerelor cadastrale, obiectivele de investiție asupra cărora se realizează în cadrul acestora, precum și suprafețele aferente – conform modelului anexat Ghidului solicitantului </w:t>
            </w:r>
          </w:p>
          <w:p w14:paraId="1C39DAC2" w14:textId="19BA60B1" w:rsidR="00B17024" w:rsidRDefault="00B17024">
            <w:pPr>
              <w:numPr>
                <w:ilvl w:val="0"/>
                <w:numId w:val="31"/>
              </w:numPr>
              <w:spacing w:before="0" w:after="0"/>
            </w:pPr>
            <w:r>
              <w:rPr>
                <w:b w:val="0"/>
              </w:rPr>
              <w:t>Actul prin care se conferă dreptul de administrare/concesiune</w:t>
            </w:r>
          </w:p>
          <w:p w14:paraId="728A0570" w14:textId="77777777" w:rsidR="00B17024" w:rsidRDefault="00B17024">
            <w:pPr>
              <w:numPr>
                <w:ilvl w:val="0"/>
                <w:numId w:val="32"/>
              </w:numPr>
              <w:spacing w:before="0" w:after="0"/>
            </w:pPr>
            <w:r>
              <w:rPr>
                <w:b w:val="0"/>
                <w:u w:val="single"/>
              </w:rPr>
              <w:t>pentru dreptul de administrare</w:t>
            </w:r>
            <w:r>
              <w:rPr>
                <w:b w:val="0"/>
              </w:rPr>
              <w:t xml:space="preserve"> – Actul juridic prin care să se demonstreze că solicitantul este administratorul legal al imobilului obiect al investiției/ proiectului, conform prevederilor legale în vigoare. Menținerea acestui drept va acoperi inclusiv perioada de durabilitate a contractului de finanțare.</w:t>
            </w:r>
          </w:p>
          <w:p w14:paraId="33FF8609" w14:textId="77777777" w:rsidR="00B17024" w:rsidRDefault="00B17024">
            <w:pPr>
              <w:numPr>
                <w:ilvl w:val="0"/>
                <w:numId w:val="32"/>
              </w:numPr>
              <w:spacing w:before="0" w:after="0"/>
            </w:pPr>
            <w:r>
              <w:rPr>
                <w:b w:val="0"/>
                <w:u w:val="single"/>
              </w:rPr>
              <w:t>pentru dreptul de concesiune</w:t>
            </w:r>
            <w:r>
              <w:rPr>
                <w:b w:val="0"/>
              </w:rPr>
              <w:t xml:space="preserve"> - Actul juridic prin care se transmite/se asigură dreptul de concesiune, conform prevederilor legale în vigoare. Menținerea acestui drept va acoperi inclusiv perioada de durabilitate a contractului de finanțare.</w:t>
            </w:r>
          </w:p>
          <w:p w14:paraId="238B1D47" w14:textId="77777777" w:rsidR="00B17024" w:rsidRDefault="00B17024" w:rsidP="00B17024">
            <w:pPr>
              <w:widowControl w:val="0"/>
              <w:spacing w:before="0" w:after="0"/>
              <w:ind w:left="630"/>
              <w:contextualSpacing/>
              <w:rPr>
                <w:sz w:val="24"/>
              </w:rPr>
            </w:pPr>
            <w:r>
              <w:rPr>
                <w:b w:val="0"/>
                <w:sz w:val="24"/>
              </w:rPr>
              <w:t xml:space="preserve"> </w:t>
            </w:r>
          </w:p>
          <w:p w14:paraId="2AEEFD44" w14:textId="7BDF3D83" w:rsidR="00B17024" w:rsidRDefault="00B17024" w:rsidP="00B17024">
            <w:pPr>
              <w:widowControl w:val="0"/>
              <w:spacing w:before="0" w:after="0"/>
              <w:ind w:left="0"/>
              <w:rPr>
                <w:bCs w:val="0"/>
              </w:rPr>
            </w:pPr>
            <w:r w:rsidRPr="00B17024">
              <w:rPr>
                <w:b w:val="0"/>
              </w:rPr>
              <w:t>Documentele care atestă drepturile reale asupra infrastructurii pe care se propune a se realiza investiția trebuie să fie atotcuprinzătoare pentru datele menționate în cadrul documentației tehnico-economice cu privire la localizarea/poziționarea/suprafața investiției</w:t>
            </w:r>
            <w:r>
              <w:rPr>
                <w:b w:val="0"/>
              </w:rPr>
              <w:t>.</w:t>
            </w:r>
          </w:p>
          <w:p w14:paraId="6CAA64DC" w14:textId="77777777" w:rsidR="004C68BF" w:rsidRDefault="004C68BF" w:rsidP="00B17024">
            <w:pPr>
              <w:widowControl w:val="0"/>
              <w:spacing w:before="0" w:after="0"/>
              <w:ind w:left="0"/>
              <w:rPr>
                <w:bCs w:val="0"/>
              </w:rPr>
            </w:pPr>
          </w:p>
          <w:p w14:paraId="06C9BE08" w14:textId="6163763D" w:rsidR="004C68BF" w:rsidRDefault="004C68BF" w:rsidP="00B17024">
            <w:pPr>
              <w:widowControl w:val="0"/>
              <w:spacing w:before="0" w:after="0"/>
              <w:ind w:left="0"/>
              <w:rPr>
                <w:b w:val="0"/>
              </w:rPr>
            </w:pPr>
            <w:r>
              <w:rPr>
                <w:b w:val="0"/>
              </w:rPr>
              <w:t xml:space="preserve">26. </w:t>
            </w:r>
            <w:r>
              <w:rPr>
                <w:bCs w:val="0"/>
              </w:rPr>
              <w:t>Hotărârea CL/CJ de aprobare a proiectului</w:t>
            </w:r>
          </w:p>
          <w:p w14:paraId="2774C0D6" w14:textId="29C459C1" w:rsidR="004C68BF" w:rsidRDefault="004C68BF" w:rsidP="00B17024">
            <w:pPr>
              <w:widowControl w:val="0"/>
              <w:spacing w:before="0" w:after="0"/>
              <w:ind w:left="0"/>
              <w:rPr>
                <w:b w:val="0"/>
              </w:rPr>
            </w:pPr>
            <w:r>
              <w:rPr>
                <w:bCs w:val="0"/>
              </w:rPr>
              <w:t>27. Acordul de parteneriat, după caz</w:t>
            </w:r>
          </w:p>
          <w:p w14:paraId="510B3BE3" w14:textId="4285CB17" w:rsidR="004C68BF" w:rsidRDefault="004C68BF" w:rsidP="00B17024">
            <w:pPr>
              <w:widowControl w:val="0"/>
              <w:spacing w:before="0" w:after="0"/>
              <w:ind w:left="0"/>
              <w:rPr>
                <w:b w:val="0"/>
              </w:rPr>
            </w:pPr>
            <w:r>
              <w:rPr>
                <w:bCs w:val="0"/>
              </w:rPr>
              <w:t xml:space="preserve">28. </w:t>
            </w:r>
            <w:r w:rsidR="00EB5812">
              <w:rPr>
                <w:bCs w:val="0"/>
              </w:rPr>
              <w:t>Raportul privind stadiul fizic al investiției</w:t>
            </w:r>
          </w:p>
          <w:p w14:paraId="52898AF5" w14:textId="18757683" w:rsidR="00EB5812" w:rsidRPr="00B17024" w:rsidRDefault="00EB5812" w:rsidP="00B17024">
            <w:pPr>
              <w:widowControl w:val="0"/>
              <w:spacing w:before="0" w:after="0"/>
              <w:ind w:left="0"/>
              <w:rPr>
                <w:b w:val="0"/>
              </w:rPr>
            </w:pPr>
            <w:r>
              <w:rPr>
                <w:bCs w:val="0"/>
              </w:rPr>
              <w:t>29. Planul de comunicare</w:t>
            </w:r>
          </w:p>
          <w:p w14:paraId="13DBF85D" w14:textId="77777777" w:rsidR="00B17024" w:rsidRDefault="00B17024" w:rsidP="0041152A">
            <w:pPr>
              <w:widowControl w:val="0"/>
              <w:spacing w:after="0"/>
              <w:rPr>
                <w:b w:val="0"/>
                <w:bCs w:val="0"/>
                <w:iCs/>
              </w:rPr>
            </w:pPr>
          </w:p>
          <w:p w14:paraId="34BA323F" w14:textId="14D15C0B" w:rsidR="00A657B7" w:rsidRPr="0041152A" w:rsidRDefault="00A657B7" w:rsidP="0041152A">
            <w:pPr>
              <w:widowControl w:val="0"/>
              <w:tabs>
                <w:tab w:val="left" w:pos="0"/>
              </w:tabs>
              <w:spacing w:before="0" w:after="0"/>
              <w:ind w:left="0"/>
              <w:rPr>
                <w:color w:val="FF0000"/>
              </w:rPr>
            </w:pPr>
          </w:p>
        </w:tc>
      </w:tr>
    </w:tbl>
    <w:p w14:paraId="6D2D8BAB" w14:textId="77777777" w:rsidR="00A657B7" w:rsidRDefault="00A657B7">
      <w:pPr>
        <w:spacing w:before="0" w:after="0"/>
        <w:ind w:left="0"/>
        <w:rPr>
          <w:color w:val="FF0000"/>
        </w:rPr>
      </w:pPr>
    </w:p>
    <w:p w14:paraId="075420D3" w14:textId="77777777" w:rsidR="00A657B7" w:rsidRDefault="00A657B7">
      <w:pPr>
        <w:ind w:left="0"/>
        <w:rPr>
          <w:rFonts w:ascii="Arial" w:eastAsia="Arial" w:hAnsi="Arial" w:cs="Arial"/>
        </w:rPr>
      </w:pPr>
      <w:bookmarkStart w:id="183" w:name="_heading=h.xvir7l"/>
      <w:bookmarkEnd w:id="183"/>
    </w:p>
    <w:p w14:paraId="417C0250" w14:textId="77777777" w:rsidR="00A657B7" w:rsidRDefault="00245051">
      <w:pPr>
        <w:pStyle w:val="Heading2"/>
      </w:pPr>
      <w:bookmarkStart w:id="184" w:name="_Toc143499334"/>
      <w:bookmarkStart w:id="185" w:name="_Toc213405591"/>
      <w:r>
        <w:t>7.5 Aspecte administrative privind depunerea cererii de finanțare</w:t>
      </w:r>
      <w:bookmarkEnd w:id="184"/>
      <w:bookmarkEnd w:id="185"/>
      <w:r>
        <w:t xml:space="preserve"> </w:t>
      </w:r>
    </w:p>
    <w:p w14:paraId="4D7191BA" w14:textId="77777777" w:rsidR="00A657B7" w:rsidRDefault="00245051">
      <w:pPr>
        <w:spacing w:before="240" w:after="240"/>
        <w:ind w:left="0"/>
        <w:rPr>
          <w:u w:val="single"/>
        </w:rPr>
      </w:pPr>
      <w:r>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r w:rsidR="00A657B7">
        <w:fldChar w:fldCharType="begin"/>
      </w:r>
      <w:r w:rsidR="00A657B7">
        <w:instrText>HYPERLINK "https://mfe.gov.ro/my-smis/"</w:instrText>
      </w:r>
      <w:r w:rsidR="00A657B7">
        <w:fldChar w:fldCharType="separate"/>
      </w:r>
      <w:r w:rsidR="00A657B7">
        <w:t xml:space="preserve"> </w:t>
      </w:r>
      <w:r w:rsidR="00A657B7">
        <w:fldChar w:fldCharType="end"/>
      </w:r>
      <w:hyperlink r:id="rId13" w:history="1">
        <w:r w:rsidR="00A657B7">
          <w:rPr>
            <w:u w:val="single"/>
          </w:rPr>
          <w:t>https://mfe.gov.ro/my-smis/</w:t>
        </w:r>
      </w:hyperlink>
    </w:p>
    <w:p w14:paraId="18F05E2C" w14:textId="77777777" w:rsidR="00A657B7" w:rsidRDefault="00245051">
      <w:pPr>
        <w:ind w:left="0"/>
      </w:pPr>
      <w:r>
        <w:t xml:space="preserve">Cererile de finanțare vor fi completate în conformitate cu instrucțiunile menționate </w:t>
      </w:r>
      <w:r>
        <w:rPr>
          <w:color w:val="FF0000"/>
        </w:rPr>
        <w:t xml:space="preserve">în </w:t>
      </w:r>
      <w:r>
        <w:rPr>
          <w:b/>
          <w:bCs/>
          <w:color w:val="FF0000"/>
        </w:rPr>
        <w:t xml:space="preserve">Anexa .... </w:t>
      </w:r>
      <w:r>
        <w:rPr>
          <w:b/>
          <w:bCs/>
        </w:rPr>
        <w:t>la prezentul ghid</w:t>
      </w:r>
      <w:r>
        <w:t xml:space="preserve"> și vor avea anexate toate documentele obligatorii solicitate la depunerea cererii de finanțare. De asemenea, a se vedea prevederile prezentului capitol cu privire la completarea cererii de finanțare.</w:t>
      </w:r>
    </w:p>
    <w:p w14:paraId="58596A0B" w14:textId="77777777" w:rsidR="00A657B7" w:rsidRDefault="00245051">
      <w:pPr>
        <w:ind w:left="0"/>
      </w:pPr>
      <w:r>
        <w:t>Conformarea cu toate cerinţele specifice formulate în ghidul solicitantului va avea în vedere următoarele aspecte:</w:t>
      </w:r>
    </w:p>
    <w:p w14:paraId="7945FA57" w14:textId="77777777" w:rsidR="00A657B7" w:rsidRDefault="00245051">
      <w:pPr>
        <w:pStyle w:val="ListParagraph"/>
        <w:numPr>
          <w:ilvl w:val="0"/>
          <w:numId w:val="14"/>
        </w:numPr>
        <w:spacing w:before="0" w:after="160" w:line="259" w:lineRule="auto"/>
        <w:rPr>
          <w:iCs/>
        </w:rPr>
      </w:pPr>
      <w:r>
        <w:t xml:space="preserve">existenta şi forma cererii de finanțare şi a anexelor, </w:t>
      </w:r>
    </w:p>
    <w:p w14:paraId="0CA1CD5A" w14:textId="77777777" w:rsidR="00A657B7" w:rsidRDefault="00245051">
      <w:pPr>
        <w:pStyle w:val="ListParagraph"/>
        <w:numPr>
          <w:ilvl w:val="0"/>
          <w:numId w:val="14"/>
        </w:numPr>
        <w:spacing w:before="0" w:after="160" w:line="259" w:lineRule="auto"/>
        <w:rPr>
          <w:iCs/>
        </w:rPr>
      </w:pPr>
      <w:r>
        <w:rPr>
          <w:iCs/>
        </w:rPr>
        <w:t xml:space="preserve">încărcarea corespunzătoare a documentelor solicitate prin ghidul solicitantului, respectarea formei  și conținutului acestora, inclusiv asigurarea asumării corespunzătoare și a </w:t>
      </w:r>
      <w:r>
        <w:t>valabilității documentelor</w:t>
      </w:r>
      <w:r>
        <w:rPr>
          <w:iCs/>
        </w:rPr>
        <w:t xml:space="preserve">. </w:t>
      </w:r>
    </w:p>
    <w:p w14:paraId="364F9EFB" w14:textId="77777777" w:rsidR="00A657B7" w:rsidRDefault="00245051">
      <w:pPr>
        <w:pStyle w:val="ListParagraph"/>
        <w:numPr>
          <w:ilvl w:val="0"/>
          <w:numId w:val="14"/>
        </w:numPr>
        <w:spacing w:before="0" w:after="160" w:line="259" w:lineRule="auto"/>
        <w:rPr>
          <w:iCs/>
        </w:rPr>
      </w:pPr>
      <w:r>
        <w:t>Alte aspecte administrative trebuie să fie conforme cu prevederile din Ghidul solicitantului</w:t>
      </w:r>
    </w:p>
    <w:p w14:paraId="2792E03F" w14:textId="77777777" w:rsidR="00A657B7" w:rsidRDefault="00245051">
      <w:pPr>
        <w:rPr>
          <w:b/>
          <w:bCs/>
          <w:iCs/>
        </w:rPr>
      </w:pPr>
      <w:r>
        <w:rPr>
          <w:b/>
          <w:bCs/>
          <w:iCs/>
        </w:rPr>
        <w:t>Nota!</w:t>
      </w:r>
    </w:p>
    <w:p w14:paraId="48B19B4A" w14:textId="77777777" w:rsidR="00A657B7" w:rsidRDefault="00245051">
      <w:pPr>
        <w:ind w:left="0"/>
        <w:rPr>
          <w:iCs/>
        </w:rPr>
      </w:pPr>
      <w:r>
        <w:rPr>
          <w:iCs/>
        </w:rPr>
        <w:t>Criteriile respective se vor verifica pe bază de declarație unică și/sau  prin verificare digitalizată în conformitate cu prevederile prezentului ghid.</w:t>
      </w:r>
    </w:p>
    <w:p w14:paraId="609F4DE2" w14:textId="77777777" w:rsidR="00A657B7" w:rsidRDefault="00245051">
      <w:pPr>
        <w:ind w:left="0"/>
      </w:pPr>
      <w:r>
        <w:t>Declarațiile în nume propriu solicitate a fi anexate la cererea de finanțare vor fi semnate cu semnătură electronică extinsă, vizibilă, certificată în conformitate cu prevederile legale în vigoare, numai de către reprezentantul legal al solicitantului.</w:t>
      </w:r>
    </w:p>
    <w:p w14:paraId="5A7BB56F" w14:textId="77777777" w:rsidR="00A657B7" w:rsidRDefault="00245051">
      <w:pPr>
        <w:spacing w:before="240" w:after="240"/>
        <w:ind w:left="0"/>
      </w:pPr>
      <w:r>
        <w:lastRenderedPageBreak/>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56EC5776" w14:textId="77777777" w:rsidR="00A657B7" w:rsidRDefault="00245051">
      <w:pPr>
        <w:pStyle w:val="Heading2"/>
      </w:pPr>
      <w:bookmarkStart w:id="186" w:name="_Toc143499335"/>
      <w:bookmarkStart w:id="187" w:name="_Toc213405592"/>
      <w:r>
        <w:t>7.6 Anexele și documente obligatorii la momentul contractării</w:t>
      </w:r>
      <w:bookmarkEnd w:id="186"/>
      <w:bookmarkEnd w:id="187"/>
    </w:p>
    <w:p w14:paraId="43E43889" w14:textId="77777777" w:rsidR="00A657B7" w:rsidRDefault="00245051">
      <w:pPr>
        <w:ind w:left="0"/>
        <w:rPr>
          <w:bCs/>
        </w:rPr>
      </w:pPr>
      <w:r>
        <w:t xml:space="preserve">Dacă proiectul este acceptat pentru finanțare (i.e. a parcurs cu succes etapa de evaluare tehnică și financiară), solicitantul va trebui să prezinte </w:t>
      </w:r>
      <w:r>
        <w:rPr>
          <w:b/>
        </w:rPr>
        <w:t xml:space="preserve">în </w:t>
      </w:r>
      <w:r>
        <w:rPr>
          <w:bCs/>
        </w:rPr>
        <w:t>etapa de contractare</w:t>
      </w:r>
      <w:r>
        <w:rPr>
          <w:b/>
        </w:rPr>
        <w:t xml:space="preserve">, în termenul maxim prevăzut de prezentul ghid, </w:t>
      </w:r>
      <w:r>
        <w:rPr>
          <w:bCs/>
        </w:rPr>
        <w:t>următoarele documente:</w:t>
      </w:r>
    </w:p>
    <w:tbl>
      <w:tblPr>
        <w:tblStyle w:val="GridTable4-Accent1"/>
        <w:tblW w:w="9728" w:type="dxa"/>
        <w:tblLayout w:type="fixed"/>
        <w:tblLook w:val="04A0" w:firstRow="1" w:lastRow="0" w:firstColumn="1" w:lastColumn="0" w:noHBand="0" w:noVBand="1"/>
      </w:tblPr>
      <w:tblGrid>
        <w:gridCol w:w="9728"/>
      </w:tblGrid>
      <w:tr w:rsidR="00A657B7" w14:paraId="7FD33497" w14:textId="77777777" w:rsidTr="00A657B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tcBorders>
              <w:top w:val="single" w:sz="4" w:space="0" w:color="3494BA"/>
              <w:left w:val="single" w:sz="4" w:space="0" w:color="3494BA"/>
              <w:bottom w:val="single" w:sz="4" w:space="0" w:color="3494BA"/>
              <w:right w:val="single" w:sz="4" w:space="0" w:color="3494BA"/>
            </w:tcBorders>
          </w:tcPr>
          <w:p w14:paraId="2559C47A" w14:textId="78599F0D" w:rsidR="00A657B7" w:rsidRDefault="00245051">
            <w:pPr>
              <w:widowControl w:val="0"/>
              <w:spacing w:after="0"/>
              <w:rPr>
                <w:color w:val="FF0000"/>
              </w:rPr>
            </w:pPr>
            <w:r>
              <w:rPr>
                <w:color w:val="FFFFFF"/>
              </w:rPr>
              <w:t xml:space="preserve">Documente solicitate la depunerea </w:t>
            </w:r>
            <w:r w:rsidR="0041152A">
              <w:rPr>
                <w:color w:val="FFFFFF"/>
              </w:rPr>
              <w:t>contractare</w:t>
            </w:r>
          </w:p>
        </w:tc>
      </w:tr>
      <w:tr w:rsidR="00A657B7" w14:paraId="66831FED" w14:textId="77777777" w:rsidTr="00A657B7">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tcPr>
          <w:p w14:paraId="64956E81" w14:textId="77777777" w:rsidR="00A657B7" w:rsidRDefault="00A657B7">
            <w:pPr>
              <w:widowControl w:val="0"/>
              <w:spacing w:after="0"/>
              <w:ind w:left="0"/>
              <w:rPr>
                <w:color w:val="FF0000"/>
              </w:rPr>
            </w:pPr>
          </w:p>
          <w:p w14:paraId="64C6B795" w14:textId="77777777" w:rsidR="00A657B7" w:rsidRDefault="00A657B7">
            <w:pPr>
              <w:widowControl w:val="0"/>
              <w:spacing w:before="0" w:after="0"/>
              <w:ind w:left="0"/>
              <w:rPr>
                <w:iCs/>
              </w:rPr>
            </w:pPr>
          </w:p>
          <w:p w14:paraId="367DB9D4" w14:textId="77777777" w:rsidR="00A657B7" w:rsidRDefault="00245051">
            <w:pPr>
              <w:pStyle w:val="ListParagraph"/>
              <w:widowControl w:val="0"/>
              <w:numPr>
                <w:ilvl w:val="3"/>
                <w:numId w:val="4"/>
              </w:numPr>
              <w:spacing w:before="0" w:after="0"/>
              <w:ind w:left="447"/>
              <w:rPr>
                <w:iCs/>
              </w:rPr>
            </w:pPr>
            <w:r>
              <w:rPr>
                <w:iCs/>
              </w:rPr>
              <w:t xml:space="preserve">Aviz Tehnic de Racordare pentru locul/locurile de producere și de stocare – </w:t>
            </w:r>
            <w:r>
              <w:rPr>
                <w:b w:val="0"/>
                <w:iCs/>
              </w:rPr>
              <w:t>în cazul în care acesta nu a fost depus o data cu cererea de finanțare</w:t>
            </w:r>
          </w:p>
          <w:p w14:paraId="104EC6AC" w14:textId="77777777" w:rsidR="00A657B7" w:rsidRDefault="00245051">
            <w:pPr>
              <w:widowControl w:val="0"/>
              <w:spacing w:before="0" w:after="0"/>
              <w:ind w:left="0"/>
              <w:rPr>
                <w:iCs/>
              </w:rPr>
            </w:pPr>
            <w:r>
              <w:rPr>
                <w:b w:val="0"/>
                <w:iCs/>
              </w:rPr>
              <w:t>Dacă este necesară conectarea locurilor de producție/stocare la sistemul energetic național se va depune ATR pentru locul/locurile de producere și de stocare</w:t>
            </w:r>
          </w:p>
          <w:p w14:paraId="392860FE" w14:textId="77777777" w:rsidR="00A657B7" w:rsidRDefault="00A657B7">
            <w:pPr>
              <w:pStyle w:val="ListParagraph"/>
              <w:widowControl w:val="0"/>
              <w:spacing w:before="0" w:after="0"/>
              <w:ind w:left="447"/>
              <w:rPr>
                <w:iCs/>
                <w:color w:val="FF0000"/>
              </w:rPr>
            </w:pPr>
          </w:p>
          <w:p w14:paraId="5D1DC611" w14:textId="77777777" w:rsidR="00A657B7" w:rsidRDefault="00A657B7">
            <w:pPr>
              <w:widowControl w:val="0"/>
              <w:spacing w:before="0" w:after="0"/>
              <w:ind w:left="0"/>
              <w:rPr>
                <w:iCs/>
                <w:color w:val="FF0000"/>
              </w:rPr>
            </w:pPr>
          </w:p>
          <w:p w14:paraId="5A445330" w14:textId="77777777" w:rsidR="00A657B7" w:rsidRPr="000F7463" w:rsidRDefault="00245051">
            <w:pPr>
              <w:pStyle w:val="ListParagraph"/>
              <w:widowControl w:val="0"/>
              <w:numPr>
                <w:ilvl w:val="3"/>
                <w:numId w:val="4"/>
              </w:numPr>
              <w:spacing w:before="0" w:after="0"/>
              <w:ind w:left="447"/>
              <w:rPr>
                <w:iCs/>
              </w:rPr>
            </w:pPr>
            <w:r w:rsidRPr="000F7463">
              <w:rPr>
                <w:iCs/>
              </w:rPr>
              <w:t>Documente strategice relevante</w:t>
            </w:r>
          </w:p>
          <w:p w14:paraId="0A38508D" w14:textId="77777777" w:rsidR="00A657B7" w:rsidRDefault="00A657B7">
            <w:pPr>
              <w:widowControl w:val="0"/>
              <w:spacing w:before="0" w:after="0"/>
              <w:ind w:left="0"/>
              <w:rPr>
                <w:iCs/>
                <w:color w:val="FF0000"/>
              </w:rPr>
            </w:pPr>
          </w:p>
          <w:p w14:paraId="2D76EB38" w14:textId="22265545" w:rsidR="00A657B7" w:rsidRDefault="00245051">
            <w:pPr>
              <w:pStyle w:val="ListParagraph"/>
              <w:widowControl w:val="0"/>
              <w:numPr>
                <w:ilvl w:val="3"/>
                <w:numId w:val="4"/>
              </w:numPr>
              <w:spacing w:before="0" w:after="0"/>
              <w:ind w:left="447"/>
              <w:rPr>
                <w:iCs/>
              </w:rPr>
            </w:pPr>
            <w:r>
              <w:rPr>
                <w:iCs/>
              </w:rPr>
              <w:t>(în cazul în care clădirea publică este ocupată de alte entități publice decât solicitantul) Declaraţia ocupantului prin care îşi exprimă acordul ca Solicitantul să realizeze investiția</w:t>
            </w:r>
            <w:r w:rsidR="000F7463">
              <w:rPr>
                <w:iCs/>
              </w:rPr>
              <w:t xml:space="preserve"> (</w:t>
            </w:r>
            <w:r w:rsidR="000F7463" w:rsidRPr="000F7463">
              <w:rPr>
                <w:iCs/>
              </w:rPr>
              <w:t xml:space="preserve">Declarația ocupantului </w:t>
            </w:r>
            <w:r w:rsidR="000F7463">
              <w:rPr>
                <w:iCs/>
              </w:rPr>
              <w:t xml:space="preserve">, </w:t>
            </w:r>
            <w:r w:rsidR="000F7463" w:rsidRPr="000F7463">
              <w:rPr>
                <w:iCs/>
              </w:rPr>
              <w:t>persoana juridică care a închiriat/a primit în folosință gratuită/a obținut în concesiune spații/unități de clădire</w:t>
            </w:r>
            <w:r w:rsidR="000F7463">
              <w:rPr>
                <w:iCs/>
              </w:rPr>
              <w:t>,</w:t>
            </w:r>
            <w:r w:rsidR="000F7463" w:rsidRPr="000F7463">
              <w:rPr>
                <w:iCs/>
              </w:rPr>
              <w:t xml:space="preserve"> prin care îşi exprimă acordul ca Solicitantul să realizeze investiția</w:t>
            </w:r>
            <w:r w:rsidR="000F7463">
              <w:rPr>
                <w:iCs/>
              </w:rPr>
              <w:t>)</w:t>
            </w:r>
          </w:p>
          <w:p w14:paraId="462A8D73" w14:textId="77777777" w:rsidR="00A657B7" w:rsidRDefault="00A657B7">
            <w:pPr>
              <w:widowControl w:val="0"/>
              <w:spacing w:before="0" w:after="0"/>
              <w:ind w:left="0"/>
              <w:rPr>
                <w:iCs/>
                <w:color w:val="FF0000"/>
              </w:rPr>
            </w:pPr>
          </w:p>
          <w:p w14:paraId="698140E7" w14:textId="77777777" w:rsidR="00A657B7" w:rsidRDefault="00245051">
            <w:pPr>
              <w:pStyle w:val="ListParagraph"/>
              <w:widowControl w:val="0"/>
              <w:numPr>
                <w:ilvl w:val="3"/>
                <w:numId w:val="4"/>
              </w:numPr>
              <w:spacing w:before="0" w:after="0"/>
              <w:ind w:left="447"/>
              <w:rPr>
                <w:iCs/>
              </w:rPr>
            </w:pPr>
            <w:r>
              <w:rPr>
                <w:iCs/>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1EA3CCBD" w14:textId="77777777" w:rsidR="00A657B7" w:rsidRDefault="00A657B7">
            <w:pPr>
              <w:widowControl w:val="0"/>
              <w:spacing w:before="0" w:after="0"/>
              <w:ind w:left="0"/>
              <w:rPr>
                <w:iCs/>
                <w:color w:val="FF0000"/>
              </w:rPr>
            </w:pPr>
          </w:p>
          <w:p w14:paraId="0CF23AF1" w14:textId="77777777" w:rsidR="00A657B7" w:rsidRDefault="00245051">
            <w:pPr>
              <w:pStyle w:val="ListParagraph"/>
              <w:widowControl w:val="0"/>
              <w:spacing w:before="0" w:after="0"/>
              <w:ind w:left="447"/>
              <w:rPr>
                <w:iCs/>
                <w:color w:val="FF0000"/>
              </w:rPr>
            </w:pPr>
            <w:r>
              <w:rPr>
                <w:iCs/>
              </w:rPr>
              <w:t>În cazul în care într-o clădire sunt mai multe spații/ unități de clădire închiriate/date în folosință gratuită/concesionate): Tabel centralizator al ocupanților respectivi la nivel de clădire, în care se menționează informațiile</w:t>
            </w:r>
            <w:r>
              <w:rPr>
                <w:iCs/>
                <w:color w:val="FF0000"/>
              </w:rPr>
              <w:t xml:space="preserve"> </w:t>
            </w:r>
            <w:r>
              <w:rPr>
                <w:iCs/>
              </w:rPr>
              <w:t>descrise la secțiunea 5.2.1</w:t>
            </w:r>
            <w:r>
              <w:rPr>
                <w:iCs/>
                <w:color w:val="FF0000"/>
              </w:rPr>
              <w:t>;</w:t>
            </w:r>
          </w:p>
          <w:p w14:paraId="43CBDF94" w14:textId="77777777" w:rsidR="00A657B7" w:rsidRDefault="00A657B7">
            <w:pPr>
              <w:pStyle w:val="ListParagraph"/>
              <w:widowControl w:val="0"/>
              <w:spacing w:before="0" w:after="0"/>
              <w:ind w:left="447"/>
              <w:rPr>
                <w:iCs/>
                <w:color w:val="FF0000"/>
              </w:rPr>
            </w:pPr>
          </w:p>
          <w:p w14:paraId="7F4D1B29" w14:textId="77777777" w:rsidR="00A657B7" w:rsidRDefault="00245051">
            <w:pPr>
              <w:pStyle w:val="ListParagraph"/>
              <w:widowControl w:val="0"/>
              <w:numPr>
                <w:ilvl w:val="3"/>
                <w:numId w:val="4"/>
              </w:numPr>
              <w:spacing w:before="0" w:after="0"/>
              <w:ind w:left="447"/>
              <w:rPr>
                <w:iCs/>
              </w:rPr>
            </w:pPr>
            <w:r>
              <w:rPr>
                <w:iCs/>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în cuantumul stabilit de legislația în vigoare. Certificatele de atestare fiscală trebuie să fie în termen de valabilitate.</w:t>
            </w:r>
          </w:p>
          <w:p w14:paraId="4C17F166" w14:textId="77777777" w:rsidR="00A657B7" w:rsidRDefault="00A657B7">
            <w:pPr>
              <w:pStyle w:val="ListParagraph"/>
              <w:widowControl w:val="0"/>
              <w:spacing w:before="0" w:after="0"/>
              <w:ind w:left="447"/>
              <w:rPr>
                <w:iCs/>
              </w:rPr>
            </w:pPr>
          </w:p>
          <w:p w14:paraId="4D94B97C" w14:textId="77777777" w:rsidR="00A657B7" w:rsidRDefault="00245051">
            <w:pPr>
              <w:pStyle w:val="ListParagraph"/>
              <w:widowControl w:val="0"/>
              <w:spacing w:before="0" w:after="0"/>
              <w:ind w:left="0"/>
              <w:rPr>
                <w:iCs/>
              </w:rPr>
            </w:pPr>
            <w:r>
              <w:rPr>
                <w:b w:val="0"/>
                <w:iCs/>
              </w:rPr>
              <w:t>În cazul în care solicitantul are debite, va solicita detalierea acestora în certificatul de atestare fiscală.</w:t>
            </w:r>
          </w:p>
          <w:p w14:paraId="5D9CA54F" w14:textId="77777777" w:rsidR="00A657B7" w:rsidRDefault="00A657B7">
            <w:pPr>
              <w:pStyle w:val="ListParagraph"/>
              <w:widowControl w:val="0"/>
              <w:spacing w:before="0" w:after="0"/>
              <w:ind w:left="0"/>
              <w:rPr>
                <w:iCs/>
              </w:rPr>
            </w:pPr>
          </w:p>
          <w:p w14:paraId="5D7EAAAE" w14:textId="77777777" w:rsidR="00A657B7" w:rsidRDefault="00245051">
            <w:pPr>
              <w:widowControl w:val="0"/>
              <w:spacing w:before="0" w:after="0"/>
              <w:ind w:left="0"/>
              <w:rPr>
                <w:iCs/>
              </w:rPr>
            </w:pPr>
            <w:r>
              <w:rPr>
                <w:iCs/>
              </w:rPr>
              <w:t>În situația realizării si funcționarii interoperabilității cu bazele de date, se va solicita depunerea de către solicitant a consimțământului acestuia in privința obținerii de către AM/OI a certificatelor respective in format electronic.</w:t>
            </w:r>
          </w:p>
          <w:p w14:paraId="5F66AD06" w14:textId="77777777" w:rsidR="00A657B7" w:rsidRDefault="00A657B7">
            <w:pPr>
              <w:widowControl w:val="0"/>
              <w:spacing w:before="0" w:after="0"/>
              <w:ind w:left="0"/>
              <w:rPr>
                <w:iCs/>
              </w:rPr>
            </w:pPr>
          </w:p>
          <w:p w14:paraId="0108BAE4" w14:textId="77777777" w:rsidR="00A657B7" w:rsidRDefault="00245051">
            <w:pPr>
              <w:pStyle w:val="ListParagraph"/>
              <w:widowControl w:val="0"/>
              <w:numPr>
                <w:ilvl w:val="3"/>
                <w:numId w:val="4"/>
              </w:numPr>
              <w:spacing w:before="0" w:after="0"/>
              <w:ind w:left="447"/>
              <w:rPr>
                <w:iCs/>
              </w:rPr>
            </w:pPr>
            <w:r>
              <w:rPr>
                <w:iCs/>
              </w:rPr>
              <w:t>Certificatul de Cazier fiscal al solicitantului</w:t>
            </w:r>
          </w:p>
          <w:p w14:paraId="46F66C08" w14:textId="77777777" w:rsidR="00A657B7" w:rsidRDefault="00A657B7">
            <w:pPr>
              <w:widowControl w:val="0"/>
              <w:spacing w:before="0" w:after="0"/>
              <w:rPr>
                <w:iCs/>
                <w:color w:val="FF0000"/>
              </w:rPr>
            </w:pPr>
          </w:p>
          <w:p w14:paraId="769B5961" w14:textId="77777777" w:rsidR="00A657B7" w:rsidRDefault="00245051">
            <w:pPr>
              <w:widowControl w:val="0"/>
              <w:spacing w:before="0" w:after="0"/>
              <w:ind w:left="22"/>
              <w:rPr>
                <w:iCs/>
              </w:rPr>
            </w:pPr>
            <w:r>
              <w:rPr>
                <w:b w:val="0"/>
                <w:iCs/>
              </w:rPr>
              <w:t xml:space="preserve">Certificatul de cazier fiscal trebuie să fie în termen de valabilitate. </w:t>
            </w:r>
          </w:p>
          <w:p w14:paraId="40C0C7D0" w14:textId="77777777" w:rsidR="00A657B7" w:rsidRDefault="00245051">
            <w:pPr>
              <w:widowControl w:val="0"/>
              <w:spacing w:before="0" w:after="0"/>
              <w:ind w:left="22"/>
              <w:rPr>
                <w:iCs/>
              </w:rPr>
            </w:pPr>
            <w:r>
              <w:rPr>
                <w:b w:val="0"/>
                <w:iCs/>
              </w:rPr>
              <w:t>In situația realizării si funcționarii interoperabilității cu bazele de date, se va solicita depunerea de către solicitant a consimțământului acestuia în privința obținerii de către AM a certificatelor respective în format electronic.</w:t>
            </w:r>
          </w:p>
          <w:p w14:paraId="3EBE4DDB" w14:textId="77777777" w:rsidR="00A657B7" w:rsidRDefault="00A657B7">
            <w:pPr>
              <w:widowControl w:val="0"/>
              <w:spacing w:before="0" w:after="0"/>
              <w:rPr>
                <w:iCs/>
              </w:rPr>
            </w:pPr>
          </w:p>
          <w:p w14:paraId="25BD957D" w14:textId="77777777" w:rsidR="00A657B7" w:rsidRDefault="00245051">
            <w:pPr>
              <w:pStyle w:val="ListParagraph"/>
              <w:widowControl w:val="0"/>
              <w:numPr>
                <w:ilvl w:val="3"/>
                <w:numId w:val="4"/>
              </w:numPr>
              <w:spacing w:before="0" w:after="0"/>
              <w:ind w:left="447"/>
              <w:rPr>
                <w:iCs/>
              </w:rPr>
            </w:pPr>
            <w:r>
              <w:rPr>
                <w:iCs/>
              </w:rPr>
              <w:t>Hotărârea de aprobare a proiectului și a cheltuielilor legate de proiect</w:t>
            </w:r>
          </w:p>
          <w:p w14:paraId="751CA876" w14:textId="77777777" w:rsidR="00A657B7" w:rsidRDefault="00A657B7">
            <w:pPr>
              <w:pStyle w:val="ListParagraph"/>
              <w:widowControl w:val="0"/>
              <w:spacing w:before="0" w:after="0"/>
              <w:ind w:left="342"/>
              <w:rPr>
                <w:iCs/>
              </w:rPr>
            </w:pPr>
          </w:p>
          <w:p w14:paraId="67779EB7" w14:textId="77777777" w:rsidR="00A657B7" w:rsidRDefault="00245051">
            <w:pPr>
              <w:pStyle w:val="ListParagraph"/>
              <w:widowControl w:val="0"/>
              <w:spacing w:before="0" w:after="0"/>
              <w:ind w:left="342"/>
              <w:rPr>
                <w:iCs/>
              </w:rPr>
            </w:pPr>
            <w:r>
              <w:rPr>
                <w:b w:val="0"/>
                <w:iCs/>
              </w:rPr>
              <w:lastRenderedPageBreak/>
              <w:t xml:space="preserve">În conformitate cu declarația unică, precum și cu ultima formă a bugetului se va transmite hotărârea de aprobare a proiectului şi a cheltuielilor aferente. </w:t>
            </w:r>
          </w:p>
          <w:p w14:paraId="7310C964" w14:textId="77777777" w:rsidR="00A657B7" w:rsidRDefault="00245051">
            <w:pPr>
              <w:pStyle w:val="ListParagraph"/>
              <w:widowControl w:val="0"/>
              <w:spacing w:before="0" w:after="0"/>
              <w:ind w:left="342"/>
              <w:rPr>
                <w:iCs/>
              </w:rPr>
            </w:pPr>
            <w:r>
              <w:rPr>
                <w:b w:val="0"/>
                <w:iCs/>
              </w:rPr>
              <w:t xml:space="preserve">În  Hotărârea sus-menţionată trebuie să fie incluse toate cheltuielile pe care solicitantul trebuie să le asigure pentru implementarea proiectului, în condiţiile rambursării/decontării ulterioare a cheltuielilor eligibile din instrumente structurale. </w:t>
            </w:r>
          </w:p>
          <w:p w14:paraId="660AE548" w14:textId="77777777" w:rsidR="00A657B7" w:rsidRDefault="00A657B7">
            <w:pPr>
              <w:pStyle w:val="ListParagraph"/>
              <w:widowControl w:val="0"/>
              <w:spacing w:before="0" w:after="0"/>
              <w:ind w:left="342"/>
              <w:rPr>
                <w:iCs/>
              </w:rPr>
            </w:pPr>
          </w:p>
          <w:p w14:paraId="4B0AE0FC" w14:textId="77777777" w:rsidR="00A657B7" w:rsidRDefault="00245051">
            <w:pPr>
              <w:pStyle w:val="ListParagraph"/>
              <w:widowControl w:val="0"/>
              <w:spacing w:before="0" w:after="0"/>
              <w:ind w:left="342"/>
              <w:rPr>
                <w:iCs/>
              </w:rPr>
            </w:pPr>
            <w:r>
              <w:rPr>
                <w:b w:val="0"/>
                <w:iCs/>
              </w:rPr>
              <w:t>Acest document se depune și în cazul în care s-a atribuit contractul de lucrări înainte de depunerea cererii de finanțare.</w:t>
            </w:r>
          </w:p>
          <w:p w14:paraId="7B65F79D" w14:textId="77777777" w:rsidR="00A657B7" w:rsidRDefault="00A657B7">
            <w:pPr>
              <w:pStyle w:val="ListParagraph"/>
              <w:widowControl w:val="0"/>
              <w:spacing w:before="0" w:after="0"/>
              <w:ind w:left="342"/>
              <w:rPr>
                <w:iCs/>
              </w:rPr>
            </w:pPr>
          </w:p>
          <w:p w14:paraId="11D93A99" w14:textId="77777777" w:rsidR="00A657B7" w:rsidRDefault="00245051">
            <w:pPr>
              <w:pStyle w:val="ListParagraph"/>
              <w:widowControl w:val="0"/>
              <w:numPr>
                <w:ilvl w:val="3"/>
                <w:numId w:val="4"/>
              </w:numPr>
              <w:spacing w:before="0" w:after="0"/>
              <w:ind w:left="306"/>
              <w:rPr>
                <w:iCs/>
              </w:rPr>
            </w:pPr>
            <w:r>
              <w:rPr>
                <w:iCs/>
              </w:rPr>
              <w:t>Formularul bugetar - „Fișa proiectului finanțat/propus la finanțare în cadrul programelor aferente Politicii de coeziune a Uniunii Europene” în conformitate cu HOTĂRÂREA nr. 829 din 27 iunie 2022 pentru aprobarea Normelor metodologice de aplicare a Ordonanței de urgență a Guvernului nr. 133/2021;</w:t>
            </w:r>
          </w:p>
          <w:p w14:paraId="55A9BD19" w14:textId="77777777" w:rsidR="00A657B7" w:rsidRDefault="00A657B7">
            <w:pPr>
              <w:pStyle w:val="ListParagraph"/>
              <w:widowControl w:val="0"/>
              <w:spacing w:before="0" w:after="0"/>
              <w:ind w:left="342"/>
              <w:rPr>
                <w:iCs/>
              </w:rPr>
            </w:pPr>
          </w:p>
          <w:p w14:paraId="6BC846CA" w14:textId="77777777" w:rsidR="00A657B7" w:rsidRDefault="00245051">
            <w:pPr>
              <w:pStyle w:val="ListParagraph"/>
              <w:widowControl w:val="0"/>
              <w:numPr>
                <w:ilvl w:val="3"/>
                <w:numId w:val="4"/>
              </w:numPr>
              <w:spacing w:before="0" w:after="0"/>
              <w:ind w:left="447"/>
              <w:rPr>
                <w:iCs/>
              </w:rPr>
            </w:pPr>
            <w:r>
              <w:rPr>
                <w:iCs/>
              </w:rPr>
              <w:t>Formularul nr. 1 - Fișă de fundamentare; în conformitate HOTĂRÂREA nr. 829 din 27 iunie 2022 pentru aprobarea Normelor metodologice de aplicare a Ordonanței de urgență a Guvernului nr. 133/2021;</w:t>
            </w:r>
          </w:p>
          <w:p w14:paraId="7D50A3FF" w14:textId="77777777" w:rsidR="00A657B7" w:rsidRDefault="00A657B7">
            <w:pPr>
              <w:pStyle w:val="ListParagraph"/>
              <w:widowControl w:val="0"/>
              <w:spacing w:before="0" w:after="0"/>
              <w:ind w:left="342"/>
              <w:rPr>
                <w:iCs/>
              </w:rPr>
            </w:pPr>
          </w:p>
          <w:p w14:paraId="19B06E24" w14:textId="04AB4B2E" w:rsidR="00A657B7" w:rsidRDefault="00245051">
            <w:pPr>
              <w:pStyle w:val="ListParagraph"/>
              <w:widowControl w:val="0"/>
              <w:numPr>
                <w:ilvl w:val="3"/>
                <w:numId w:val="4"/>
              </w:numPr>
              <w:spacing w:before="0" w:after="0"/>
              <w:ind w:left="447"/>
              <w:rPr>
                <w:iCs/>
              </w:rPr>
            </w:pPr>
            <w:r>
              <w:rPr>
                <w:iCs/>
              </w:rPr>
              <w:t>Plan de monitorizare întocmit în corelare cu prevederile din ghidul solicitantului, fiind incluși indicatorii de etapă stabiliți pentru perioada de implementare a proiectului, documentele justificative prin care se poate demonstra realizarea acestora în etapa de implementare a proiectului, în vederea atingerii obiectivelor și țintelor finale ale indicatorilor de realizare și de rezultat prevăzuți în cadrul cererii.</w:t>
            </w:r>
          </w:p>
          <w:p w14:paraId="207E2256" w14:textId="77777777" w:rsidR="00A657B7" w:rsidRDefault="00A657B7">
            <w:pPr>
              <w:pStyle w:val="ListParagraph"/>
              <w:widowControl w:val="0"/>
              <w:spacing w:after="0"/>
              <w:rPr>
                <w:iCs/>
              </w:rPr>
            </w:pPr>
          </w:p>
          <w:p w14:paraId="21F80D1E" w14:textId="77777777" w:rsidR="00A657B7" w:rsidRDefault="00245051">
            <w:pPr>
              <w:pStyle w:val="ListParagraph"/>
              <w:widowControl w:val="0"/>
              <w:numPr>
                <w:ilvl w:val="3"/>
                <w:numId w:val="4"/>
              </w:numPr>
              <w:spacing w:before="0" w:after="0"/>
              <w:ind w:left="447"/>
              <w:rPr>
                <w:iCs/>
              </w:rPr>
            </w:pPr>
            <w:r>
              <w:rPr>
                <w:iCs/>
              </w:rPr>
              <w:t>Graficul de rambursare/plăți</w:t>
            </w:r>
          </w:p>
          <w:p w14:paraId="441C0380" w14:textId="77777777" w:rsidR="00A657B7" w:rsidRDefault="00A657B7">
            <w:pPr>
              <w:pStyle w:val="ListParagraph"/>
              <w:widowControl w:val="0"/>
              <w:spacing w:after="0"/>
              <w:rPr>
                <w:iCs/>
              </w:rPr>
            </w:pPr>
          </w:p>
          <w:p w14:paraId="01BF29E8" w14:textId="77777777" w:rsidR="00A657B7" w:rsidRPr="00F32CF8" w:rsidRDefault="00245051">
            <w:pPr>
              <w:pStyle w:val="ListParagraph"/>
              <w:widowControl w:val="0"/>
              <w:numPr>
                <w:ilvl w:val="3"/>
                <w:numId w:val="4"/>
              </w:numPr>
              <w:spacing w:before="0" w:after="0"/>
              <w:ind w:left="447"/>
              <w:rPr>
                <w:iCs/>
              </w:rPr>
            </w:pPr>
            <w:r>
              <w:rPr>
                <w:iCs/>
              </w:rPr>
              <w:t>Declarațiile pe proprie răspundere actualizate, dacă au suferit modificări față de momentul depunerii cererii de finanțare</w:t>
            </w:r>
          </w:p>
          <w:p w14:paraId="3CECBBC7" w14:textId="62688A2E" w:rsidR="00F32CF8" w:rsidRPr="00F807E4" w:rsidRDefault="00F807E4">
            <w:pPr>
              <w:pStyle w:val="ListParagraph"/>
              <w:widowControl w:val="0"/>
              <w:numPr>
                <w:ilvl w:val="3"/>
                <w:numId w:val="4"/>
              </w:numPr>
              <w:spacing w:before="0" w:after="0"/>
              <w:ind w:left="447"/>
              <w:rPr>
                <w:iCs/>
              </w:rPr>
            </w:pPr>
            <w:bookmarkStart w:id="188" w:name="_Hlk213335552"/>
            <w:r w:rsidRPr="00F807E4">
              <w:rPr>
                <w:iCs/>
              </w:rPr>
              <w:t>În cazul proiectelor care includ energie geotermală, beneficiarul d</w:t>
            </w:r>
            <w:r>
              <w:rPr>
                <w:iCs/>
              </w:rPr>
              <w:t>pune</w:t>
            </w:r>
            <w:r w:rsidRPr="00F807E4">
              <w:rPr>
                <w:iCs/>
              </w:rPr>
              <w:t xml:space="preserve"> licența de explorare</w:t>
            </w:r>
            <w:r>
              <w:rPr>
                <w:iCs/>
              </w:rPr>
              <w:t>. Dacă aceasta nu există, se va prezenta cel târziu la prima cerere de rambursare.</w:t>
            </w:r>
          </w:p>
          <w:bookmarkEnd w:id="188"/>
          <w:p w14:paraId="3E2577CE" w14:textId="77777777" w:rsidR="00F807E4" w:rsidRDefault="00F807E4" w:rsidP="00F807E4">
            <w:pPr>
              <w:pStyle w:val="ListParagraph"/>
              <w:widowControl w:val="0"/>
              <w:tabs>
                <w:tab w:val="left" w:pos="0"/>
              </w:tabs>
              <w:spacing w:before="0" w:after="0"/>
              <w:ind w:left="2160"/>
              <w:rPr>
                <w:iCs/>
              </w:rPr>
            </w:pPr>
          </w:p>
          <w:p w14:paraId="1DB76C0B" w14:textId="77777777" w:rsidR="00A657B7" w:rsidRDefault="00A657B7">
            <w:pPr>
              <w:pStyle w:val="ListParagraph"/>
              <w:widowControl w:val="0"/>
              <w:spacing w:before="0" w:after="0"/>
              <w:ind w:left="342"/>
              <w:rPr>
                <w:iCs/>
              </w:rPr>
            </w:pPr>
          </w:p>
          <w:p w14:paraId="20B8B5C5" w14:textId="77777777" w:rsidR="00A657B7" w:rsidRDefault="00245051">
            <w:pPr>
              <w:pStyle w:val="ListParagraph"/>
              <w:widowControl w:val="0"/>
              <w:numPr>
                <w:ilvl w:val="3"/>
                <w:numId w:val="4"/>
              </w:numPr>
              <w:spacing w:before="0" w:after="0"/>
              <w:ind w:left="447"/>
              <w:rPr>
                <w:iCs/>
              </w:rPr>
            </w:pPr>
            <w:r>
              <w:rPr>
                <w:iCs/>
              </w:rPr>
              <w:t>Orice alt document din lista celor anexate la formularul cererii de finanțare, actualizat, dacă au intervenit modificări/Orice alte documente care se consideră a fi necesare pentru demonstrarea criteriilor de eligibilitate</w:t>
            </w:r>
          </w:p>
          <w:p w14:paraId="692213E4" w14:textId="77777777" w:rsidR="00A657B7" w:rsidRDefault="00A657B7">
            <w:pPr>
              <w:pStyle w:val="ListParagraph"/>
              <w:widowControl w:val="0"/>
              <w:spacing w:before="0" w:after="0"/>
              <w:ind w:left="342"/>
              <w:rPr>
                <w:iCs/>
                <w:color w:val="FF0000"/>
              </w:rPr>
            </w:pPr>
          </w:p>
          <w:p w14:paraId="5B61FD0D" w14:textId="0544E05A" w:rsidR="00A657B7" w:rsidRPr="008504A1" w:rsidRDefault="00F807E4">
            <w:pPr>
              <w:pStyle w:val="ListParagraph"/>
              <w:widowControl w:val="0"/>
              <w:spacing w:before="0" w:after="0"/>
              <w:ind w:left="342"/>
              <w:rPr>
                <w:b w:val="0"/>
                <w:bCs w:val="0"/>
                <w:iCs/>
                <w:color w:val="1C6194" w:themeColor="accent6" w:themeShade="BF"/>
                <w:lang w:val="en-US"/>
              </w:rPr>
            </w:pPr>
            <w:bookmarkStart w:id="189" w:name="_Hlk213335437"/>
            <w:r w:rsidRPr="008504A1">
              <w:rPr>
                <w:iCs/>
                <w:color w:val="1C6194" w:themeColor="accent6" w:themeShade="BF"/>
              </w:rPr>
              <w:t xml:space="preserve">Alte avize/acorduri/autorizații obținute în baza prevderilor legale aplicabile se pot solicita beneficiarului pe parcursul implementării proiectului, cu privire la alte condiții specifice, precum, cu titlu de exemplu, menționăm </w:t>
            </w:r>
            <w:r w:rsidRPr="008504A1">
              <w:rPr>
                <w:iCs/>
                <w:color w:val="1C6194" w:themeColor="accent6" w:themeShade="BF"/>
                <w:lang w:val="en-US"/>
              </w:rPr>
              <w:t>:</w:t>
            </w:r>
          </w:p>
          <w:p w14:paraId="09BABAF2" w14:textId="7BB4D9A2" w:rsidR="00F807E4" w:rsidRPr="008504A1" w:rsidRDefault="00F807E4">
            <w:pPr>
              <w:pStyle w:val="ListParagraph"/>
              <w:widowControl w:val="0"/>
              <w:numPr>
                <w:ilvl w:val="0"/>
                <w:numId w:val="40"/>
              </w:numPr>
              <w:spacing w:before="0" w:after="0"/>
              <w:rPr>
                <w:iCs/>
                <w:color w:val="1C6194" w:themeColor="accent6" w:themeShade="BF"/>
                <w:lang w:val="en-US"/>
              </w:rPr>
            </w:pPr>
            <w:bookmarkStart w:id="190" w:name="_Hlk213342251"/>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cazul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proiectelor</w:t>
            </w:r>
            <w:proofErr w:type="spellEnd"/>
            <w:r w:rsidRPr="008504A1">
              <w:rPr>
                <w:iCs/>
                <w:color w:val="1C6194" w:themeColor="accent6" w:themeShade="BF"/>
                <w:lang w:val="en-US"/>
              </w:rPr>
              <w:t xml:space="preserve"> care </w:t>
            </w:r>
            <w:proofErr w:type="spellStart"/>
            <w:r w:rsidRPr="008504A1">
              <w:rPr>
                <w:iCs/>
                <w:color w:val="1C6194" w:themeColor="accent6" w:themeShade="BF"/>
                <w:lang w:val="en-US"/>
              </w:rPr>
              <w:t>includ</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și</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pompele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caldură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acestea</w:t>
            </w:r>
            <w:proofErr w:type="spellEnd"/>
            <w:r w:rsidRPr="008504A1">
              <w:rPr>
                <w:iCs/>
                <w:color w:val="1C6194" w:themeColor="accent6" w:themeShade="BF"/>
                <w:lang w:val="en-US"/>
              </w:rPr>
              <w:t xml:space="preserve"> au un </w:t>
            </w:r>
            <w:proofErr w:type="spellStart"/>
            <w:r w:rsidRPr="008504A1">
              <w:rPr>
                <w:iCs/>
                <w:color w:val="1C6194" w:themeColor="accent6" w:themeShade="BF"/>
                <w:lang w:val="en-US"/>
              </w:rPr>
              <w:t>coeficient</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performanță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conformitate</w:t>
            </w:r>
            <w:proofErr w:type="spellEnd"/>
            <w:r w:rsidRPr="008504A1">
              <w:rPr>
                <w:iCs/>
                <w:color w:val="1C6194" w:themeColor="accent6" w:themeShade="BF"/>
                <w:lang w:val="en-US"/>
              </w:rPr>
              <w:t xml:space="preserve"> cu </w:t>
            </w:r>
            <w:proofErr w:type="spellStart"/>
            <w:r w:rsidRPr="008504A1">
              <w:rPr>
                <w:iCs/>
                <w:color w:val="1C6194" w:themeColor="accent6" w:themeShade="BF"/>
                <w:lang w:val="en-US"/>
              </w:rPr>
              <w:t>prevederile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Directivei</w:t>
            </w:r>
            <w:proofErr w:type="spellEnd"/>
            <w:r w:rsidRPr="008504A1">
              <w:rPr>
                <w:iCs/>
                <w:color w:val="1C6194" w:themeColor="accent6" w:themeShade="BF"/>
                <w:lang w:val="en-US"/>
              </w:rPr>
              <w:t xml:space="preserve"> (UE) 2018/2001 </w:t>
            </w:r>
            <w:proofErr w:type="spellStart"/>
            <w:r w:rsidRPr="008504A1">
              <w:rPr>
                <w:iCs/>
                <w:color w:val="1C6194" w:themeColor="accent6" w:themeShade="BF"/>
                <w:lang w:val="en-US"/>
              </w:rPr>
              <w:t>pentru</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promovarea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utilizării</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energiei</w:t>
            </w:r>
            <w:proofErr w:type="spellEnd"/>
            <w:r w:rsidRPr="008504A1">
              <w:rPr>
                <w:iCs/>
                <w:color w:val="1C6194" w:themeColor="accent6" w:themeShade="BF"/>
                <w:lang w:val="en-US"/>
              </w:rPr>
              <w:t xml:space="preserve"> din </w:t>
            </w:r>
            <w:proofErr w:type="spellStart"/>
            <w:r w:rsidRPr="008504A1">
              <w:rPr>
                <w:iCs/>
                <w:color w:val="1C6194" w:themeColor="accent6" w:themeShade="BF"/>
                <w:lang w:val="en-US"/>
              </w:rPr>
              <w:t>surse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regenerabile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energie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Anexa</w:t>
            </w:r>
            <w:proofErr w:type="spellEnd"/>
            <w:r w:rsidRPr="008504A1">
              <w:rPr>
                <w:iCs/>
                <w:color w:val="1C6194" w:themeColor="accent6" w:themeShade="BF"/>
                <w:lang w:val="en-US"/>
              </w:rPr>
              <w:t xml:space="preserve"> 7), </w:t>
            </w:r>
            <w:proofErr w:type="spellStart"/>
            <w:r w:rsidRPr="008504A1">
              <w:rPr>
                <w:iCs/>
                <w:color w:val="1C6194" w:themeColor="accent6" w:themeShade="BF"/>
                <w:lang w:val="en-US"/>
              </w:rPr>
              <w:t>versiunea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consolidată</w:t>
            </w:r>
            <w:proofErr w:type="spellEnd"/>
            <w:r w:rsidRPr="008504A1">
              <w:rPr>
                <w:iCs/>
                <w:color w:val="1C6194" w:themeColor="accent6" w:themeShade="BF"/>
                <w:lang w:val="en-US"/>
              </w:rPr>
              <w:t>.</w:t>
            </w:r>
          </w:p>
          <w:p w14:paraId="0BE9A8B5" w14:textId="77777777" w:rsidR="00F807E4" w:rsidRPr="008504A1" w:rsidRDefault="00F807E4">
            <w:pPr>
              <w:pStyle w:val="ListParagraph"/>
              <w:widowControl w:val="0"/>
              <w:numPr>
                <w:ilvl w:val="0"/>
                <w:numId w:val="40"/>
              </w:numPr>
              <w:spacing w:before="0" w:after="0"/>
              <w:rPr>
                <w:iCs/>
                <w:color w:val="1C6194" w:themeColor="accent6" w:themeShade="BF"/>
                <w:lang w:val="en-US"/>
              </w:rPr>
            </w:pP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cazul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proiectelor</w:t>
            </w:r>
            <w:proofErr w:type="spellEnd"/>
            <w:r w:rsidRPr="008504A1">
              <w:rPr>
                <w:iCs/>
                <w:color w:val="1C6194" w:themeColor="accent6" w:themeShade="BF"/>
                <w:lang w:val="en-US"/>
              </w:rPr>
              <w:t xml:space="preserve"> care </w:t>
            </w:r>
            <w:proofErr w:type="spellStart"/>
            <w:r w:rsidRPr="008504A1">
              <w:rPr>
                <w:iCs/>
                <w:color w:val="1C6194" w:themeColor="accent6" w:themeShade="BF"/>
                <w:lang w:val="en-US"/>
              </w:rPr>
              <w:t>produc</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și</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utlilizează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biogaz</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materia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primă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este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exclusiv</w:t>
            </w:r>
            <w:proofErr w:type="spellEnd"/>
            <w:r w:rsidRPr="008504A1">
              <w:rPr>
                <w:iCs/>
                <w:color w:val="1C6194" w:themeColor="accent6" w:themeShade="BF"/>
                <w:lang w:val="en-US"/>
              </w:rPr>
              <w:t xml:space="preserve"> din material organic (</w:t>
            </w:r>
            <w:proofErr w:type="spellStart"/>
            <w:r w:rsidRPr="008504A1">
              <w:rPr>
                <w:iCs/>
                <w:color w:val="1C6194" w:themeColor="accent6" w:themeShade="BF"/>
                <w:lang w:val="en-US"/>
              </w:rPr>
              <w:t>Anexa</w:t>
            </w:r>
            <w:proofErr w:type="spellEnd"/>
            <w:r w:rsidRPr="008504A1">
              <w:rPr>
                <w:iCs/>
                <w:color w:val="1C6194" w:themeColor="accent6" w:themeShade="BF"/>
                <w:lang w:val="en-US"/>
              </w:rPr>
              <w:t xml:space="preserve"> IX, </w:t>
            </w:r>
            <w:proofErr w:type="spellStart"/>
            <w:r w:rsidRPr="008504A1">
              <w:rPr>
                <w:iCs/>
                <w:color w:val="1C6194" w:themeColor="accent6" w:themeShade="BF"/>
                <w:lang w:val="en-US"/>
              </w:rPr>
              <w:t>partea</w:t>
            </w:r>
            <w:proofErr w:type="spellEnd"/>
            <w:r w:rsidRPr="008504A1">
              <w:rPr>
                <w:iCs/>
                <w:color w:val="1C6194" w:themeColor="accent6" w:themeShade="BF"/>
                <w:lang w:val="en-US"/>
              </w:rPr>
              <w:t xml:space="preserve"> A cu </w:t>
            </w:r>
            <w:proofErr w:type="spellStart"/>
            <w:r w:rsidRPr="008504A1">
              <w:rPr>
                <w:iCs/>
                <w:color w:val="1C6194" w:themeColor="accent6" w:themeShade="BF"/>
                <w:lang w:val="en-US"/>
              </w:rPr>
              <w:t>lista</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materii</w:t>
            </w:r>
            <w:proofErr w:type="spellEnd"/>
            <w:r w:rsidRPr="008504A1">
              <w:rPr>
                <w:iCs/>
                <w:color w:val="1C6194" w:themeColor="accent6" w:themeShade="BF"/>
                <w:lang w:val="en-US"/>
              </w:rPr>
              <w:t xml:space="preserve"> prime) care </w:t>
            </w:r>
            <w:proofErr w:type="spellStart"/>
            <w:r w:rsidRPr="008504A1">
              <w:rPr>
                <w:iCs/>
                <w:color w:val="1C6194" w:themeColor="accent6" w:themeShade="BF"/>
                <w:lang w:val="en-US"/>
              </w:rPr>
              <w:t>respectă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criteriile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durabilitate</w:t>
            </w:r>
            <w:proofErr w:type="spellEnd"/>
            <w:r w:rsidRPr="008504A1">
              <w:rPr>
                <w:iCs/>
                <w:color w:val="1C6194" w:themeColor="accent6" w:themeShade="BF"/>
                <w:lang w:val="en-US"/>
              </w:rPr>
              <w:t xml:space="preserve"> din </w:t>
            </w:r>
            <w:proofErr w:type="spellStart"/>
            <w:r w:rsidRPr="008504A1">
              <w:rPr>
                <w:iCs/>
                <w:color w:val="1C6194" w:themeColor="accent6" w:themeShade="BF"/>
                <w:lang w:val="en-US"/>
              </w:rPr>
              <w:t>Directiva</w:t>
            </w:r>
            <w:proofErr w:type="spellEnd"/>
            <w:r w:rsidRPr="008504A1">
              <w:rPr>
                <w:iCs/>
                <w:color w:val="1C6194" w:themeColor="accent6" w:themeShade="BF"/>
                <w:lang w:val="en-US"/>
              </w:rPr>
              <w:t xml:space="preserve"> 2018/2001 </w:t>
            </w:r>
            <w:proofErr w:type="spellStart"/>
            <w:r w:rsidRPr="008504A1">
              <w:rPr>
                <w:iCs/>
                <w:color w:val="1C6194" w:themeColor="accent6" w:themeShade="BF"/>
                <w:lang w:val="en-US"/>
              </w:rPr>
              <w:t>și</w:t>
            </w:r>
            <w:proofErr w:type="spellEnd"/>
            <w:r w:rsidRPr="008504A1">
              <w:rPr>
                <w:iCs/>
                <w:color w:val="1C6194" w:themeColor="accent6" w:themeShade="BF"/>
                <w:lang w:val="en-US"/>
              </w:rPr>
              <w:t xml:space="preserve"> a </w:t>
            </w:r>
            <w:proofErr w:type="spellStart"/>
            <w:r w:rsidRPr="008504A1">
              <w:rPr>
                <w:iCs/>
                <w:color w:val="1C6194" w:themeColor="accent6" w:themeShade="BF"/>
                <w:lang w:val="en-US"/>
              </w:rPr>
              <w:t>Regulamentului</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punere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aplicare</w:t>
            </w:r>
            <w:proofErr w:type="spellEnd"/>
            <w:r w:rsidRPr="008504A1">
              <w:rPr>
                <w:iCs/>
                <w:color w:val="1C6194" w:themeColor="accent6" w:themeShade="BF"/>
                <w:lang w:val="en-US"/>
              </w:rPr>
              <w:t xml:space="preserve"> 2022/996, </w:t>
            </w:r>
            <w:proofErr w:type="spellStart"/>
            <w:r w:rsidRPr="008504A1">
              <w:rPr>
                <w:iCs/>
                <w:color w:val="1C6194" w:themeColor="accent6" w:themeShade="BF"/>
                <w:lang w:val="en-US"/>
              </w:rPr>
              <w:t>surse</w:t>
            </w:r>
            <w:proofErr w:type="spellEnd"/>
            <w:r w:rsidRPr="008504A1">
              <w:rPr>
                <w:iCs/>
                <w:color w:val="1C6194" w:themeColor="accent6" w:themeShade="BF"/>
                <w:lang w:val="en-US"/>
              </w:rPr>
              <w:t xml:space="preserve"> multiple de </w:t>
            </w:r>
            <w:proofErr w:type="spellStart"/>
            <w:r w:rsidRPr="008504A1">
              <w:rPr>
                <w:iCs/>
                <w:color w:val="1C6194" w:themeColor="accent6" w:themeShade="BF"/>
                <w:lang w:val="en-US"/>
              </w:rPr>
              <w:t>asemenea</w:t>
            </w:r>
            <w:proofErr w:type="spellEnd"/>
            <w:r w:rsidRPr="008504A1">
              <w:rPr>
                <w:iCs/>
                <w:color w:val="1C6194" w:themeColor="accent6" w:themeShade="BF"/>
                <w:lang w:val="en-US"/>
              </w:rPr>
              <w:t xml:space="preserve"> material organic </w:t>
            </w:r>
            <w:proofErr w:type="spellStart"/>
            <w:r w:rsidRPr="008504A1">
              <w:rPr>
                <w:iCs/>
                <w:color w:val="1C6194" w:themeColor="accent6" w:themeShade="BF"/>
                <w:lang w:val="en-US"/>
              </w:rPr>
              <w:t>fiind</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detaliate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cuprinsul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celor</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două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acte</w:t>
            </w:r>
            <w:proofErr w:type="spellEnd"/>
            <w:r w:rsidRPr="008504A1">
              <w:rPr>
                <w:iCs/>
                <w:color w:val="1C6194" w:themeColor="accent6" w:themeShade="BF"/>
                <w:lang w:val="en-US"/>
              </w:rPr>
              <w:t xml:space="preserve"> anterior </w:t>
            </w:r>
            <w:proofErr w:type="spellStart"/>
            <w:r w:rsidRPr="008504A1">
              <w:rPr>
                <w:iCs/>
                <w:color w:val="1C6194" w:themeColor="accent6" w:themeShade="BF"/>
                <w:lang w:val="en-US"/>
              </w:rPr>
              <w:t>menționate</w:t>
            </w:r>
            <w:proofErr w:type="spellEnd"/>
          </w:p>
          <w:p w14:paraId="63843982" w14:textId="08DFBD5C" w:rsidR="00F807E4" w:rsidRPr="008504A1" w:rsidRDefault="00F807E4">
            <w:pPr>
              <w:pStyle w:val="ListParagraph"/>
              <w:widowControl w:val="0"/>
              <w:numPr>
                <w:ilvl w:val="0"/>
                <w:numId w:val="40"/>
              </w:numPr>
              <w:spacing w:before="0" w:after="0"/>
              <w:rPr>
                <w:iCs/>
                <w:color w:val="1C6194" w:themeColor="accent6" w:themeShade="BF"/>
                <w:lang w:val="en-US"/>
              </w:rPr>
            </w:pP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cazul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proiectelor</w:t>
            </w:r>
            <w:proofErr w:type="spellEnd"/>
            <w:r w:rsidRPr="008504A1">
              <w:rPr>
                <w:iCs/>
                <w:color w:val="1C6194" w:themeColor="accent6" w:themeShade="BF"/>
                <w:lang w:val="en-US"/>
              </w:rPr>
              <w:t xml:space="preserve"> care </w:t>
            </w:r>
            <w:proofErr w:type="spellStart"/>
            <w:r w:rsidRPr="008504A1">
              <w:rPr>
                <w:iCs/>
                <w:color w:val="1C6194" w:themeColor="accent6" w:themeShade="BF"/>
                <w:lang w:val="en-US"/>
              </w:rPr>
              <w:t>utilizează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biogazul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tehnologia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adoptată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respectă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încadrarea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concentrațiile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emisii</w:t>
            </w:r>
            <w:proofErr w:type="spellEnd"/>
            <w:r w:rsidRPr="008504A1">
              <w:rPr>
                <w:iCs/>
                <w:color w:val="1C6194" w:themeColor="accent6" w:themeShade="BF"/>
                <w:lang w:val="en-US"/>
              </w:rPr>
              <w:t xml:space="preserve"> din </w:t>
            </w:r>
            <w:proofErr w:type="spellStart"/>
            <w:r w:rsidRPr="008504A1">
              <w:rPr>
                <w:iCs/>
                <w:color w:val="1C6194" w:themeColor="accent6" w:themeShade="BF"/>
                <w:lang w:val="en-US"/>
              </w:rPr>
              <w:t>gazele</w:t>
            </w:r>
            <w:proofErr w:type="spellEnd"/>
            <w:r w:rsidRPr="008504A1">
              <w:rPr>
                <w:iCs/>
                <w:color w:val="1C6194" w:themeColor="accent6" w:themeShade="BF"/>
                <w:lang w:val="en-US"/>
              </w:rPr>
              <w:t xml:space="preserve"> emanate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atmosferă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conformitate</w:t>
            </w:r>
            <w:proofErr w:type="spellEnd"/>
            <w:r w:rsidRPr="008504A1">
              <w:rPr>
                <w:iCs/>
                <w:color w:val="1C6194" w:themeColor="accent6" w:themeShade="BF"/>
                <w:lang w:val="en-US"/>
              </w:rPr>
              <w:t xml:space="preserve"> cu </w:t>
            </w:r>
            <w:proofErr w:type="spellStart"/>
            <w:r w:rsidRPr="008504A1">
              <w:rPr>
                <w:iCs/>
                <w:color w:val="1C6194" w:themeColor="accent6" w:themeShade="BF"/>
                <w:lang w:val="en-US"/>
              </w:rPr>
              <w:t>legislația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specifică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vigoare</w:t>
            </w:r>
            <w:proofErr w:type="spellEnd"/>
            <w:r w:rsidRPr="008504A1">
              <w:rPr>
                <w:iCs/>
                <w:color w:val="1C6194" w:themeColor="accent6" w:themeShade="BF"/>
                <w:lang w:val="en-US"/>
              </w:rPr>
              <w:t xml:space="preserve"> (v. </w:t>
            </w:r>
            <w:hyperlink r:id="rId14" w:history="1">
              <w:r w:rsidRPr="008504A1">
                <w:rPr>
                  <w:rStyle w:val="Hyperlink"/>
                  <w:iCs/>
                  <w:color w:val="1C6194" w:themeColor="accent6" w:themeShade="BF"/>
                  <w:lang w:val="en-US"/>
                </w:rPr>
                <w:t>http://www.anpm.ro/domenii</w:t>
              </w:r>
            </w:hyperlink>
            <w:r w:rsidRPr="008504A1">
              <w:rPr>
                <w:iCs/>
                <w:color w:val="1C6194" w:themeColor="accent6" w:themeShade="BF"/>
                <w:lang w:val="en-US"/>
              </w:rPr>
              <w:t>)</w:t>
            </w:r>
          </w:p>
          <w:p w14:paraId="157CCD75" w14:textId="19226E0C" w:rsidR="00F807E4" w:rsidRPr="008504A1" w:rsidRDefault="00F807E4">
            <w:pPr>
              <w:pStyle w:val="ListParagraph"/>
              <w:widowControl w:val="0"/>
              <w:numPr>
                <w:ilvl w:val="0"/>
                <w:numId w:val="40"/>
              </w:numPr>
              <w:spacing w:before="0" w:after="0"/>
              <w:rPr>
                <w:iCs/>
                <w:color w:val="1C6194" w:themeColor="accent6" w:themeShade="BF"/>
                <w:lang w:val="en-US"/>
              </w:rPr>
            </w:pPr>
            <w:proofErr w:type="spellStart"/>
            <w:r w:rsidRPr="008504A1">
              <w:rPr>
                <w:iCs/>
                <w:color w:val="1C6194" w:themeColor="accent6" w:themeShade="BF"/>
                <w:lang w:val="en-US"/>
              </w:rPr>
              <w:t>În</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cazul</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cogenerării</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aceasta</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este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înaltă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eficiență</w:t>
            </w:r>
            <w:proofErr w:type="spellEnd"/>
            <w:r w:rsidRPr="008504A1">
              <w:rPr>
                <w:iCs/>
                <w:color w:val="1C6194" w:themeColor="accent6" w:themeShade="BF"/>
                <w:lang w:val="en-US"/>
              </w:rPr>
              <w:t xml:space="preserve">, conform </w:t>
            </w:r>
            <w:proofErr w:type="spellStart"/>
            <w:r w:rsidRPr="008504A1">
              <w:rPr>
                <w:iCs/>
                <w:color w:val="1C6194" w:themeColor="accent6" w:themeShade="BF"/>
                <w:lang w:val="en-US"/>
              </w:rPr>
              <w:t>definiției</w:t>
            </w:r>
            <w:proofErr w:type="spellEnd"/>
            <w:r w:rsidRPr="008504A1">
              <w:rPr>
                <w:iCs/>
                <w:color w:val="1C6194" w:themeColor="accent6" w:themeShade="BF"/>
                <w:lang w:val="en-US"/>
              </w:rPr>
              <w:t xml:space="preserve"> din </w:t>
            </w:r>
            <w:proofErr w:type="spellStart"/>
            <w:r w:rsidRPr="008504A1">
              <w:rPr>
                <w:iCs/>
                <w:color w:val="1C6194" w:themeColor="accent6" w:themeShade="BF"/>
                <w:lang w:val="en-US"/>
              </w:rPr>
              <w:t>Directiva</w:t>
            </w:r>
            <w:proofErr w:type="spellEnd"/>
            <w:r w:rsidRPr="008504A1">
              <w:rPr>
                <w:iCs/>
                <w:color w:val="1C6194" w:themeColor="accent6" w:themeShade="BF"/>
                <w:lang w:val="en-US"/>
              </w:rPr>
              <w:t xml:space="preserve"> 2012/27/UE (</w:t>
            </w:r>
            <w:proofErr w:type="spellStart"/>
            <w:r w:rsidRPr="008504A1">
              <w:rPr>
                <w:iCs/>
                <w:color w:val="1C6194" w:themeColor="accent6" w:themeShade="BF"/>
                <w:lang w:val="en-US"/>
              </w:rPr>
              <w:t>consolidată</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iar</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tehnologiile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cogenerare</w:t>
            </w:r>
            <w:proofErr w:type="spellEnd"/>
            <w:r w:rsidRPr="008504A1">
              <w:rPr>
                <w:iCs/>
                <w:color w:val="1C6194" w:themeColor="accent6" w:themeShade="BF"/>
                <w:lang w:val="en-US"/>
              </w:rPr>
              <w:t xml:space="preserve"> sunt </w:t>
            </w:r>
            <w:proofErr w:type="spellStart"/>
            <w:r w:rsidRPr="008504A1">
              <w:rPr>
                <w:iCs/>
                <w:color w:val="1C6194" w:themeColor="accent6" w:themeShade="BF"/>
                <w:lang w:val="en-US"/>
              </w:rPr>
              <w:t>cele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prevazute</w:t>
            </w:r>
            <w:proofErr w:type="spellEnd"/>
            <w:r w:rsidRPr="008504A1">
              <w:rPr>
                <w:iCs/>
                <w:color w:val="1C6194" w:themeColor="accent6" w:themeShade="BF"/>
                <w:lang w:val="en-US"/>
              </w:rPr>
              <w:t xml:space="preserve"> de </w:t>
            </w:r>
            <w:proofErr w:type="spellStart"/>
            <w:r w:rsidRPr="008504A1">
              <w:rPr>
                <w:iCs/>
                <w:color w:val="1C6194" w:themeColor="accent6" w:themeShade="BF"/>
                <w:lang w:val="en-US"/>
              </w:rPr>
              <w:t>Directiva</w:t>
            </w:r>
            <w:proofErr w:type="spellEnd"/>
            <w:r w:rsidRPr="008504A1">
              <w:rPr>
                <w:iCs/>
                <w:color w:val="1C6194" w:themeColor="accent6" w:themeShade="BF"/>
                <w:lang w:val="en-US"/>
              </w:rPr>
              <w:t xml:space="preserve"> 2012/27/UE (</w:t>
            </w:r>
            <w:proofErr w:type="spellStart"/>
            <w:r w:rsidRPr="008504A1">
              <w:rPr>
                <w:iCs/>
                <w:color w:val="1C6194" w:themeColor="accent6" w:themeShade="BF"/>
                <w:lang w:val="en-US"/>
              </w:rPr>
              <w:t>consolidată</w:t>
            </w:r>
            <w:proofErr w:type="spellEnd"/>
            <w:proofErr w:type="gramStart"/>
            <w:r w:rsidRPr="008504A1">
              <w:rPr>
                <w:iCs/>
                <w:color w:val="1C6194" w:themeColor="accent6" w:themeShade="BF"/>
                <w:lang w:val="en-US"/>
              </w:rPr>
              <w:t>).din</w:t>
            </w:r>
            <w:proofErr w:type="gramEnd"/>
            <w:r w:rsidRPr="008504A1">
              <w:rPr>
                <w:iCs/>
                <w:color w:val="1C6194" w:themeColor="accent6" w:themeShade="BF"/>
                <w:lang w:val="en-US"/>
              </w:rPr>
              <w:t xml:space="preserve"> </w:t>
            </w:r>
            <w:proofErr w:type="spellStart"/>
            <w:r w:rsidRPr="008504A1">
              <w:rPr>
                <w:iCs/>
                <w:color w:val="1C6194" w:themeColor="accent6" w:themeShade="BF"/>
                <w:lang w:val="en-US"/>
              </w:rPr>
              <w:t>surse</w:t>
            </w:r>
            <w:proofErr w:type="spellEnd"/>
            <w:r w:rsidRPr="008504A1">
              <w:rPr>
                <w:iCs/>
                <w:color w:val="1C6194" w:themeColor="accent6" w:themeShade="BF"/>
                <w:lang w:val="en-US"/>
              </w:rPr>
              <w:t xml:space="preserve"> </w:t>
            </w:r>
            <w:proofErr w:type="spellStart"/>
            <w:r w:rsidRPr="008504A1">
              <w:rPr>
                <w:iCs/>
                <w:color w:val="1C6194" w:themeColor="accent6" w:themeShade="BF"/>
                <w:lang w:val="en-US"/>
              </w:rPr>
              <w:t>regenerabile</w:t>
            </w:r>
            <w:proofErr w:type="spellEnd"/>
            <w:r w:rsidRPr="008504A1">
              <w:rPr>
                <w:iCs/>
                <w:color w:val="1C6194" w:themeColor="accent6" w:themeShade="BF"/>
                <w:lang w:val="en-US"/>
              </w:rPr>
              <w:t>.</w:t>
            </w:r>
          </w:p>
          <w:bookmarkEnd w:id="189"/>
          <w:bookmarkEnd w:id="190"/>
          <w:p w14:paraId="5935B2CA" w14:textId="77777777" w:rsidR="00A657B7" w:rsidRDefault="00245051">
            <w:pPr>
              <w:widowControl w:val="0"/>
              <w:spacing w:after="0"/>
              <w:ind w:left="0"/>
              <w:rPr>
                <w:lang w:eastAsia="ro-RO"/>
              </w:rPr>
            </w:pPr>
            <w:r>
              <w:rPr>
                <w:lang w:eastAsia="ro-RO"/>
              </w:rPr>
              <w:t>Atenție!</w:t>
            </w:r>
          </w:p>
          <w:p w14:paraId="5E4E1CFB" w14:textId="77777777" w:rsidR="00A657B7" w:rsidRDefault="00245051">
            <w:pPr>
              <w:widowControl w:val="0"/>
              <w:spacing w:after="0"/>
              <w:ind w:left="0"/>
            </w:pPr>
            <w:r>
              <w:lastRenderedPageBreak/>
              <w:t>În cazul în care anumite documente își pierd valabilitatea pe parcursul procesului de evaluare sau prezintă erori materiale, AMPTJ/OI PTJ va solicita retransmiterea acestora în etapa de contractare.</w:t>
            </w:r>
          </w:p>
          <w:p w14:paraId="75BAAFE8" w14:textId="77777777" w:rsidR="00A657B7" w:rsidRDefault="00245051">
            <w:pPr>
              <w:widowControl w:val="0"/>
              <w:spacing w:after="0"/>
              <w:ind w:left="0"/>
              <w:rPr>
                <w:iCs/>
              </w:rPr>
            </w:pPr>
            <w:bookmarkStart w:id="191" w:name="_Hlk135048705"/>
            <w:r>
              <w:rPr>
                <w:b w:val="0"/>
                <w:bCs w:val="0"/>
                <w:iCs/>
              </w:rPr>
              <w:t>Solicitantul 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w:t>
            </w:r>
            <w:bookmarkEnd w:id="191"/>
          </w:p>
          <w:p w14:paraId="15FB589C" w14:textId="77777777" w:rsidR="00A657B7" w:rsidRDefault="00245051">
            <w:pPr>
              <w:pStyle w:val="ListParagraph"/>
              <w:widowControl w:val="0"/>
              <w:spacing w:before="0" w:after="0"/>
              <w:ind w:left="522"/>
              <w:rPr>
                <w:color w:val="FF0000"/>
              </w:rPr>
            </w:pPr>
            <w:r>
              <w:t>Netransmiterea, în etapa contractuală, a oricărui document obligatoriu, în termenul de 15 zile lucrătoare calculat de la data primirii solicitării AM, conduce la respingerea cererii de finanțare.</w:t>
            </w:r>
          </w:p>
        </w:tc>
      </w:tr>
    </w:tbl>
    <w:p w14:paraId="4F6CBD55" w14:textId="77777777" w:rsidR="00A657B7" w:rsidRDefault="00A657B7">
      <w:pPr>
        <w:spacing w:after="0"/>
        <w:rPr>
          <w:color w:val="FF0000"/>
        </w:rPr>
      </w:pPr>
    </w:p>
    <w:p w14:paraId="19A857D9" w14:textId="77777777" w:rsidR="00A657B7" w:rsidRDefault="00245051">
      <w:pPr>
        <w:pStyle w:val="Heading2"/>
      </w:pPr>
      <w:bookmarkStart w:id="192" w:name="_Toc143499336"/>
      <w:bookmarkStart w:id="193" w:name="_Toc213405593"/>
      <w:r>
        <w:t>7.7 Renunțarea la cererea de finanțare</w:t>
      </w:r>
      <w:bookmarkEnd w:id="192"/>
      <w:bookmarkEnd w:id="193"/>
      <w:r>
        <w:tab/>
      </w:r>
    </w:p>
    <w:p w14:paraId="6A3EDDDF" w14:textId="77777777" w:rsidR="00A657B7" w:rsidRDefault="00A657B7"/>
    <w:p w14:paraId="08D29D24" w14:textId="77777777" w:rsidR="00A657B7" w:rsidRDefault="00245051">
      <w:pPr>
        <w:spacing w:after="0"/>
        <w:ind w:left="0"/>
      </w:pPr>
      <w:r>
        <w:t xml:space="preserve">În situaţia renunțării la solicitarea finanțării, solicitantul va trebui să completeze, semneze o cerere pe o va transmite prin </w:t>
      </w:r>
      <w:r>
        <w:rPr>
          <w:iCs/>
        </w:rPr>
        <w:t>MySMIS2021/SMIS2021+</w:t>
      </w:r>
      <w:r>
        <w:t xml:space="preserve">. Renunțarea la cererea de finanțare se va face numai de către reprezentantul legal al solicitantului în mod expres prin mandat special/împuternicire specială. </w:t>
      </w:r>
    </w:p>
    <w:p w14:paraId="12E31B7D" w14:textId="77777777" w:rsidR="00A657B7" w:rsidRDefault="00A657B7">
      <w:pPr>
        <w:spacing w:after="0"/>
      </w:pPr>
    </w:p>
    <w:p w14:paraId="2DA240BC" w14:textId="77777777" w:rsidR="00A657B7" w:rsidRDefault="00245051">
      <w:pPr>
        <w:spacing w:after="0"/>
        <w:ind w:left="0"/>
      </w:pPr>
      <w:r>
        <w:t>Procedura de renunțare la cererea de finanțare depusă, anterior menționată, se aplică pentru toate etapele procesului de evaluare, selecție și contractare.</w:t>
      </w:r>
    </w:p>
    <w:p w14:paraId="449A3A39" w14:textId="7BB98B8C" w:rsidR="00A657B7" w:rsidRDefault="00245051">
      <w:pPr>
        <w:pStyle w:val="Heading1"/>
        <w:numPr>
          <w:ilvl w:val="0"/>
          <w:numId w:val="54"/>
        </w:numPr>
      </w:pPr>
      <w:bookmarkStart w:id="194" w:name="_Toc143499337"/>
      <w:bookmarkStart w:id="195" w:name="_Toc213405594"/>
      <w:r>
        <w:t>PROCESUL DE EVALUARE, SELECȚIE ȘI CONTRACTARE A PROIECTELOR</w:t>
      </w:r>
      <w:bookmarkEnd w:id="194"/>
      <w:bookmarkEnd w:id="195"/>
      <w:r>
        <w:t xml:space="preserve"> </w:t>
      </w:r>
    </w:p>
    <w:p w14:paraId="6BB872F2" w14:textId="77777777" w:rsidR="00A657B7" w:rsidRDefault="00245051">
      <w:pPr>
        <w:ind w:left="0"/>
        <w:rPr>
          <w:iCs/>
        </w:rPr>
      </w:pPr>
      <w:r>
        <w:t xml:space="preserve">În cazul apelurilor de proiecte cu termen-limită de depunere, lansate prin prezentul ghid, durata totală a </w:t>
      </w:r>
      <w:r>
        <w:rPr>
          <w:iCs/>
        </w:rPr>
        <w:t>procesului de evaluare, selecție, contractare</w:t>
      </w:r>
      <w:r>
        <w:t xml:space="preserve"> până la intrarea în vigoare a contractului de finanțare nu poate depăși 180 de zile calendaristice calculate de la închiderea apelului de proiecte.</w:t>
      </w:r>
    </w:p>
    <w:p w14:paraId="1E1EB0BE" w14:textId="77777777" w:rsidR="00A657B7" w:rsidRDefault="00245051">
      <w:pPr>
        <w:ind w:left="0"/>
      </w:pPr>
      <w:r>
        <w:rPr>
          <w:iCs/>
        </w:rPr>
        <w:t>Proiectele sunt selectate prin aplicarea criteriilor de evaluare și selecție cu condiția respectării pragului de calitate stabilit și în condițiile prevăzute de prezentul ghid, în limita bugetului alocat apelului specific</w:t>
      </w:r>
      <w:r>
        <w:t>.</w:t>
      </w:r>
    </w:p>
    <w:p w14:paraId="1A6F2232" w14:textId="77777777" w:rsidR="00A657B7" w:rsidRDefault="00245051">
      <w:pPr>
        <w:ind w:left="0"/>
        <w:rPr>
          <w:b/>
          <w:bCs/>
          <w:iCs/>
        </w:rPr>
      </w:pPr>
      <w:r>
        <w:rPr>
          <w:b/>
          <w:bCs/>
          <w:iCs/>
        </w:rPr>
        <w:t>Atenție!</w:t>
      </w:r>
    </w:p>
    <w:p w14:paraId="347FA258" w14:textId="77777777" w:rsidR="00A657B7" w:rsidRDefault="00245051">
      <w:pPr>
        <w:spacing w:after="0"/>
        <w:ind w:left="0"/>
        <w:rPr>
          <w:iCs/>
        </w:rPr>
      </w:pPr>
      <w: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cumulate de suspendare nu pot depăși 45 de zile calendaristice.</w:t>
      </w:r>
    </w:p>
    <w:p w14:paraId="1F83DD11" w14:textId="77777777" w:rsidR="00A657B7" w:rsidRDefault="00245051">
      <w:pPr>
        <w:pStyle w:val="Heading2"/>
      </w:pPr>
      <w:bookmarkStart w:id="196" w:name="_Toc143499338"/>
      <w:bookmarkStart w:id="197" w:name="_Toc213405595"/>
      <w:r>
        <w:t>8.1 Principalele etape ale procesului de evaluare, selecție și contractare</w:t>
      </w:r>
      <w:bookmarkEnd w:id="196"/>
      <w:bookmarkEnd w:id="197"/>
      <w:r>
        <w:t xml:space="preserve"> </w:t>
      </w:r>
    </w:p>
    <w:p w14:paraId="20C49983" w14:textId="77777777" w:rsidR="00A657B7" w:rsidRDefault="00A657B7">
      <w:pPr>
        <w:spacing w:before="0" w:after="0"/>
        <w:ind w:left="0"/>
      </w:pPr>
    </w:p>
    <w:p w14:paraId="3142033E" w14:textId="77777777" w:rsidR="00A657B7" w:rsidRDefault="00245051">
      <w:pPr>
        <w:spacing w:before="0" w:after="0"/>
        <w:ind w:left="0"/>
      </w:pPr>
      <w:r>
        <w:t>Principalele etape ale procesului pe care îl parcurge cererea de finanțare de la depunere până la contractare sunt:</w:t>
      </w:r>
    </w:p>
    <w:p w14:paraId="4C833465" w14:textId="77777777" w:rsidR="00A657B7" w:rsidRDefault="00245051">
      <w:pPr>
        <w:pStyle w:val="ListParagraph"/>
        <w:numPr>
          <w:ilvl w:val="0"/>
          <w:numId w:val="15"/>
        </w:numPr>
        <w:spacing w:before="0" w:after="0"/>
      </w:pPr>
      <w:r>
        <w:t>Conformitatea administrativă</w:t>
      </w:r>
    </w:p>
    <w:p w14:paraId="607DDC7C" w14:textId="77777777" w:rsidR="00A657B7" w:rsidRDefault="00245051">
      <w:pPr>
        <w:pStyle w:val="ListParagraph"/>
        <w:numPr>
          <w:ilvl w:val="0"/>
          <w:numId w:val="15"/>
        </w:numPr>
        <w:spacing w:before="0" w:after="0"/>
      </w:pPr>
      <w:r>
        <w:t>Evaluare tehnică și financiară</w:t>
      </w:r>
    </w:p>
    <w:p w14:paraId="57805A10" w14:textId="77777777" w:rsidR="00A657B7" w:rsidRDefault="00245051">
      <w:pPr>
        <w:pStyle w:val="ListParagraph"/>
        <w:numPr>
          <w:ilvl w:val="0"/>
          <w:numId w:val="15"/>
        </w:numPr>
        <w:spacing w:before="0" w:after="0"/>
      </w:pPr>
      <w:r>
        <w:t>Contractarea proiectelor</w:t>
      </w:r>
    </w:p>
    <w:p w14:paraId="720BE98E" w14:textId="77777777" w:rsidR="00A657B7" w:rsidRDefault="00A657B7">
      <w:pPr>
        <w:spacing w:before="0" w:after="0"/>
        <w:ind w:left="0"/>
        <w:rPr>
          <w:iCs/>
        </w:rPr>
      </w:pPr>
    </w:p>
    <w:p w14:paraId="4E0BF34E" w14:textId="77777777" w:rsidR="00A657B7" w:rsidRDefault="00245051">
      <w:pPr>
        <w:spacing w:before="0" w:after="0"/>
        <w:ind w:left="0"/>
        <w:rPr>
          <w:iCs/>
        </w:rPr>
      </w:pPr>
      <w:r>
        <w:rPr>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3B81E7F4" w14:textId="77777777" w:rsidR="00A657B7" w:rsidRDefault="00A657B7">
      <w:pPr>
        <w:spacing w:before="0" w:after="0"/>
        <w:ind w:left="0"/>
        <w:rPr>
          <w:iCs/>
        </w:rPr>
      </w:pPr>
    </w:p>
    <w:p w14:paraId="01AC55B5" w14:textId="77777777" w:rsidR="00A657B7" w:rsidRDefault="00245051">
      <w:pPr>
        <w:pStyle w:val="Heading2"/>
      </w:pPr>
      <w:bookmarkStart w:id="198" w:name="_Toc143499339"/>
      <w:bookmarkStart w:id="199" w:name="_Toc213405596"/>
      <w:r>
        <w:t>8.2 Conformitate administrativă și eligibilitate – DECLARATIE UNICĂ</w:t>
      </w:r>
      <w:bookmarkEnd w:id="198"/>
      <w:bookmarkEnd w:id="199"/>
    </w:p>
    <w:p w14:paraId="4B60C0F8" w14:textId="77777777" w:rsidR="00A657B7" w:rsidRDefault="00A657B7"/>
    <w:p w14:paraId="59D7B71F" w14:textId="77777777" w:rsidR="00A657B7" w:rsidRDefault="00245051">
      <w:pPr>
        <w:spacing w:before="0" w:after="0"/>
        <w:ind w:left="0"/>
      </w:pPr>
      <w:r>
        <w:lastRenderedPageBreak/>
        <w:t>Verificarea conformității administrative este complet digitalizată, respectiv este realizată în mod automat prin sistemul informatic MySMIS2021/SMIS2021+, pe baza declarației unice generate de sistemul informatic MySMIS2021/ SMIS2021+.</w:t>
      </w:r>
    </w:p>
    <w:p w14:paraId="4399069D" w14:textId="77777777" w:rsidR="00A657B7" w:rsidRDefault="00245051">
      <w:pPr>
        <w:spacing w:before="0" w:after="0"/>
        <w:ind w:left="0"/>
      </w:pPr>
      <w:r>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09F9385" w14:textId="77777777" w:rsidR="00A657B7" w:rsidRDefault="00245051">
      <w:pPr>
        <w:spacing w:before="240" w:after="0" w:line="276" w:lineRule="auto"/>
        <w:ind w:left="0"/>
      </w:pPr>
      <w:r>
        <w:t xml:space="preserve"> Verificarea conformității administrative și eligibilității din perspectiva îndeplinirii  condițiilor de eligibilitate se realizează, </w:t>
      </w:r>
      <w:r>
        <w:rPr>
          <w:b/>
          <w:bCs/>
        </w:rPr>
        <w:t>în etapa de contractare</w:t>
      </w:r>
      <w:r>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p>
    <w:p w14:paraId="64EB3107" w14:textId="77777777" w:rsidR="00A657B7" w:rsidRDefault="00A657B7">
      <w:pPr>
        <w:spacing w:before="0" w:after="0"/>
        <w:ind w:left="0"/>
      </w:pPr>
    </w:p>
    <w:p w14:paraId="2DC4BFF9" w14:textId="77777777" w:rsidR="00A657B7" w:rsidRDefault="00245051">
      <w:pPr>
        <w:spacing w:before="0" w:after="0"/>
        <w:ind w:left="0"/>
      </w:pPr>
      <w:r>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7005728B" w14:textId="77777777" w:rsidR="00A657B7" w:rsidRDefault="00A657B7">
      <w:pPr>
        <w:spacing w:before="0" w:after="0"/>
        <w:ind w:left="0"/>
      </w:pPr>
    </w:p>
    <w:p w14:paraId="1C083C74" w14:textId="77777777" w:rsidR="00A657B7" w:rsidRDefault="00245051">
      <w:pPr>
        <w:spacing w:before="0" w:after="0"/>
        <w:ind w:left="0"/>
      </w:pPr>
      <w:r>
        <w:t>AMPTJ/OIPTJ  poate sesiza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0303EEA8" w14:textId="77777777" w:rsidR="00A657B7" w:rsidRDefault="00A657B7">
      <w:pPr>
        <w:spacing w:before="0" w:after="0"/>
        <w:ind w:left="0"/>
        <w:rPr>
          <w:color w:val="FF0000"/>
        </w:rPr>
      </w:pPr>
    </w:p>
    <w:p w14:paraId="48E76591" w14:textId="77777777" w:rsidR="00A657B7" w:rsidRDefault="00245051">
      <w:pPr>
        <w:spacing w:before="0" w:after="0"/>
        <w:ind w:left="0"/>
        <w:rPr>
          <w:b/>
        </w:rPr>
      </w:pPr>
      <w:r>
        <w:t xml:space="preserve">De asemenea, o parte dintre criteriile de eligibilitate și conformitate se vor verifica în etapa de contractare. Pentru detalii cu privire la etapa de contractare și verificările asociate acesteia vă rugăm consultați </w:t>
      </w:r>
      <w:r>
        <w:rPr>
          <w:b/>
        </w:rPr>
        <w:t>secțiunea 8.9 a prezentului ghid.</w:t>
      </w:r>
    </w:p>
    <w:p w14:paraId="703050E7" w14:textId="77777777" w:rsidR="00A657B7" w:rsidRDefault="00A657B7">
      <w:pPr>
        <w:spacing w:before="0" w:after="0"/>
        <w:ind w:left="0"/>
        <w:rPr>
          <w:b/>
          <w:color w:val="FF0000"/>
        </w:rPr>
      </w:pPr>
    </w:p>
    <w:p w14:paraId="089CADF9" w14:textId="77777777" w:rsidR="00A657B7" w:rsidRDefault="00245051">
      <w:pPr>
        <w:spacing w:before="0" w:after="0"/>
        <w:ind w:left="0"/>
      </w:pPr>
      <w: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DCAED44" w14:textId="77777777" w:rsidR="00A657B7" w:rsidRDefault="00245051">
      <w:pPr>
        <w:pStyle w:val="Heading2"/>
      </w:pPr>
      <w:bookmarkStart w:id="200" w:name="_Toc143499340"/>
      <w:bookmarkStart w:id="201" w:name="_Toc213405597"/>
      <w:r>
        <w:t>8.3 Etapa de evaluare preliminară – dacă este cazul (specific pentru intervențiile FSE+) (NA)</w:t>
      </w:r>
      <w:bookmarkEnd w:id="200"/>
      <w:bookmarkEnd w:id="201"/>
    </w:p>
    <w:p w14:paraId="6CFD324D" w14:textId="77777777" w:rsidR="00A657B7" w:rsidRDefault="00245051">
      <w:pPr>
        <w:pStyle w:val="Heading2"/>
      </w:pPr>
      <w:bookmarkStart w:id="202" w:name="_Toc143499341"/>
      <w:bookmarkStart w:id="203" w:name="_Toc213405598"/>
      <w:r>
        <w:t>8.4 Evaluarea tehnică și financiară. Criterii de evaluare tehnică și financiară</w:t>
      </w:r>
      <w:bookmarkEnd w:id="202"/>
      <w:bookmarkEnd w:id="203"/>
    </w:p>
    <w:p w14:paraId="487FA3B1" w14:textId="77777777" w:rsidR="00A657B7" w:rsidRDefault="00245051">
      <w:pPr>
        <w:ind w:left="0"/>
      </w:pPr>
      <w:r>
        <w:t>După finalizarea etapei de conformitate administrativă (prin semnarea Declarației Unice), solicitantul este informat, prin emiterea unei notificări prin intermediul aplicației MySMIS2021, cu privire la trecerea proiectului în etapa de evaluare tehnică și financiară.</w:t>
      </w:r>
    </w:p>
    <w:p w14:paraId="63B7908B" w14:textId="77777777" w:rsidR="00A657B7" w:rsidRDefault="00245051">
      <w:pPr>
        <w:spacing w:after="0"/>
        <w:ind w:left="0"/>
      </w:pPr>
      <w:r>
        <w:t>Metodologia și criteriile de evaluare și selecție a proiectelor se aprobă prin decizia CMPTJ, conform prevederilor art. 40 din Regulamentul (UE) 2021/1.060, cu modificările și completările ulterioare, la nivel de program/apel de proiecte, după caz.</w:t>
      </w:r>
    </w:p>
    <w:p w14:paraId="14311D22" w14:textId="77777777" w:rsidR="00A657B7" w:rsidRDefault="00245051">
      <w:pPr>
        <w:spacing w:after="0"/>
        <w:ind w:left="0"/>
        <w:rPr>
          <w:b/>
          <w:bCs/>
          <w:iCs/>
        </w:rPr>
      </w:pPr>
      <w:bookmarkStart w:id="204" w:name="_Hlk133414245"/>
      <w:r>
        <w:t xml:space="preserve">Criteriile de evaluare și selecție sunt în concordanță cu cerințele și obiectivul specific unic al PTJ, în special cu criteriile de prioritizare pentru prioritatea în cadrul căreia/căruia este lansat apelul de proiecte și urmăresc impactul proiectului asupra realizării obiectivelor de investiție, precum și eficiența utilizării fondurilor externe nerambursabile, inclusiv prin utilizarea indicatorilor de performanță financiară. </w:t>
      </w:r>
      <w:bookmarkEnd w:id="204"/>
    </w:p>
    <w:p w14:paraId="3B3765C3" w14:textId="77777777" w:rsidR="00A657B7" w:rsidRDefault="00245051">
      <w:pPr>
        <w:spacing w:after="0"/>
        <w:ind w:left="0"/>
        <w:rPr>
          <w:b/>
          <w:bCs/>
          <w:iCs/>
        </w:rPr>
      </w:pPr>
      <w:r>
        <w:rPr>
          <w:iCs/>
        </w:rPr>
        <w:t xml:space="preserve">Grilele de evaluare tehnică și financiară se completează și se generează în sistemul informatic MySMIS2021/SMIS2021+. </w:t>
      </w:r>
    </w:p>
    <w:p w14:paraId="5747BD75" w14:textId="2002FEAC" w:rsidR="00A657B7" w:rsidRDefault="00245051">
      <w:pPr>
        <w:ind w:left="0"/>
        <w:rPr>
          <w:color w:val="FF0000"/>
        </w:rPr>
      </w:pPr>
      <w:r>
        <w:t>Evaluarea tehnică şi financiară se realizează de către comisiile de evaluare constituite la nivelul OI PTJ, în conformitate cu criteriile de evaluare tehnică şi financiară</w:t>
      </w:r>
      <w:r>
        <w:rPr>
          <w:b/>
          <w:bCs/>
          <w:color w:val="FF0000"/>
        </w:rPr>
        <w:t>.</w:t>
      </w:r>
    </w:p>
    <w:p w14:paraId="763C269D" w14:textId="77777777" w:rsidR="00A657B7" w:rsidRDefault="00245051">
      <w:pPr>
        <w:spacing w:before="0" w:after="0"/>
        <w:ind w:left="0"/>
      </w:pPr>
      <w:r>
        <w:lastRenderedPageBreak/>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7CA25190" w14:textId="77777777" w:rsidR="00A657B7" w:rsidRDefault="00A657B7">
      <w:pPr>
        <w:spacing w:before="0" w:after="0"/>
        <w:ind w:left="0"/>
        <w:rPr>
          <w:color w:val="FF0000"/>
        </w:rPr>
      </w:pPr>
    </w:p>
    <w:p w14:paraId="7A1FFD51" w14:textId="77777777" w:rsidR="00A657B7" w:rsidRDefault="00245051">
      <w:pPr>
        <w:spacing w:before="0" w:after="0"/>
        <w:ind w:left="0"/>
      </w:pPr>
      <w:r>
        <w:t xml:space="preserve">Pentru etapa de evaluare tehnică și financiară se pot solicita clarificări asupra documentelor/ informațiilor existente în cererea de finanțare și anexelor acesteia, cu termen de răspuns de maxim 5 zile lucrătoare de la data transmiterii solicitării, cu posibilitatea prelungirii termenului de răspuns, la cererea expresă și justificată a solicitantului de finanțare. </w:t>
      </w:r>
    </w:p>
    <w:p w14:paraId="3845FDF1" w14:textId="77777777" w:rsidR="00A657B7" w:rsidRDefault="00245051">
      <w:pPr>
        <w:spacing w:before="0" w:after="0"/>
        <w:ind w:left="0"/>
      </w:pPr>
      <w:r>
        <w:t xml:space="preserve">De asemenea, în această etapă, se va realiza vizita la fata locului pentru toate proiectele. Vizita se va desfășura la locul de implementare propus în cererea de finanțare, cu scopul de a confrunta informațiile prezentate în cererea de finanțare cu realitatea în teren. Nu se va prelua niciun document în etapa de vizită la fața locului. Cu ocazia acestei vizite nu trebuie să se aducă clarificări suplimentare ori informații care nu se regăsesc în cererea de finanțare depusă. </w:t>
      </w:r>
    </w:p>
    <w:p w14:paraId="702BE795" w14:textId="77777777" w:rsidR="00A657B7" w:rsidRDefault="00245051">
      <w:pPr>
        <w:spacing w:before="0" w:after="0"/>
        <w:ind w:left="0"/>
      </w:pPr>
      <w:r>
        <w:t>Orice constatări și observații sesizate cu ocazia vizitei la fața locului vor fi consemnate în cadrul grilelor de evaluare tehnică și financiară. În urma efectuării vizitei la fața locului evaluatorii independenți vor putea finaliza punctajul acordat pentru criteriile ce țin de coerența documentației menționând neconcordanțele din cererea de finanțare și cele constatate la vizita pe teren, cu justificarea și dovezile aferente</w:t>
      </w:r>
    </w:p>
    <w:p w14:paraId="5F602195" w14:textId="77777777" w:rsidR="00A657B7" w:rsidRDefault="00245051">
      <w:pPr>
        <w:ind w:left="0"/>
      </w:pPr>
      <w:r>
        <w:t xml:space="preserve">Dacă în urma cererii de clarificări, solicitantul de finanțare nu răspunde în termenul stabilit și în conformitate cu cerințele formulate, cererea de finanțare va fi evaluată numai pe baza informațiilor existente. </w:t>
      </w:r>
    </w:p>
    <w:p w14:paraId="05F5450C" w14:textId="77777777" w:rsidR="00A657B7" w:rsidRDefault="00A657B7">
      <w:pPr>
        <w:rPr>
          <w:color w:val="FF0000"/>
        </w:rPr>
      </w:pPr>
    </w:p>
    <w:p w14:paraId="2D6690C3" w14:textId="77777777" w:rsidR="00A657B7" w:rsidRDefault="00245051">
      <w:pPr>
        <w:pStyle w:val="Heading2"/>
        <w:numPr>
          <w:ilvl w:val="1"/>
          <w:numId w:val="16"/>
        </w:numPr>
      </w:pPr>
      <w:bookmarkStart w:id="205" w:name="_Toc143499342"/>
      <w:bookmarkStart w:id="206" w:name="_Toc213405599"/>
      <w:r>
        <w:t>Aplicarea pragului de calitate</w:t>
      </w:r>
      <w:bookmarkEnd w:id="205"/>
      <w:bookmarkEnd w:id="206"/>
      <w:r>
        <w:t xml:space="preserve"> </w:t>
      </w:r>
    </w:p>
    <w:p w14:paraId="60894FB2" w14:textId="77777777" w:rsidR="00B17024" w:rsidRPr="00B17024" w:rsidRDefault="00B17024" w:rsidP="00CC5C88">
      <w:pPr>
        <w:rPr>
          <w:iCs/>
        </w:rPr>
      </w:pPr>
      <w:bookmarkStart w:id="207" w:name="_Toc143499343"/>
      <w:r w:rsidRPr="00B17024">
        <w:rPr>
          <w:iCs/>
        </w:rPr>
        <w:t xml:space="preserve">Proiectele ce parcurg etapele de evaluare și selecţie, fiind declarate conforme și eligibile și obținând punctajul minim de 50 puncte în etapa de evaluare tehnică și financiară și conformitatea documentației tehnico-economice, în conformitate cu etapele prevăzute în ghidul solicitantului,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(a se vedea prevederile art. 15, alin. 1, lit. b) din OUG nr. 133/2021). </w:t>
      </w:r>
    </w:p>
    <w:p w14:paraId="1FFC6C0A" w14:textId="4236F59F" w:rsidR="00A657B7" w:rsidRDefault="00245051">
      <w:pPr>
        <w:pStyle w:val="Heading2"/>
      </w:pPr>
      <w:bookmarkStart w:id="208" w:name="_Toc213405600"/>
      <w:r>
        <w:t>8.6 Aplicarea pragului de excelență</w:t>
      </w:r>
      <w:bookmarkEnd w:id="207"/>
      <w:bookmarkEnd w:id="208"/>
      <w:r>
        <w:t xml:space="preserve"> </w:t>
      </w:r>
    </w:p>
    <w:p w14:paraId="50B939F3" w14:textId="1678D9FF" w:rsidR="00B17024" w:rsidRPr="00B17024" w:rsidRDefault="00B17024" w:rsidP="00CC5C88">
      <w:pPr>
        <w:rPr>
          <w:iCs/>
        </w:rPr>
      </w:pPr>
      <w:r w:rsidRPr="00B17024">
        <w:rPr>
          <w:iCs/>
        </w:rPr>
        <w:t>Aplicarea pragului de excelență:</w:t>
      </w:r>
    </w:p>
    <w:p w14:paraId="6CF0FFDC" w14:textId="77777777" w:rsidR="00B17024" w:rsidRPr="00B17024" w:rsidRDefault="00B17024" w:rsidP="00CC5C88">
      <w:pPr>
        <w:rPr>
          <w:iCs/>
        </w:rPr>
      </w:pPr>
      <w:r w:rsidRPr="00B17024">
        <w:rPr>
          <w:iCs/>
        </w:rPr>
        <w:t>Ulterior depunerii, cererile de finanțare vor intra într-un sistem competitiv de verificare, evaluare și selecție în urma căruia vor fi contractate direct doar proiectele care întrunesc toate condițiile de eligibilitate și care, în urma evaluării tehnice și financiare, obțin cel puțin 75 de puncte și care îndeplinesc criteriile obligatorii menționate în grilele de verificare a documentațiilor tehnico-economice, cu încadrarea în alocarea financiară a apelului de proiecte, în baza principiului primul depus primul evaluat.</w:t>
      </w:r>
    </w:p>
    <w:p w14:paraId="749479EE" w14:textId="77777777" w:rsidR="00B17024" w:rsidRPr="00B17024" w:rsidRDefault="00B17024" w:rsidP="00CC5C88">
      <w:pPr>
        <w:rPr>
          <w:iCs/>
        </w:rPr>
      </w:pPr>
      <w:r w:rsidRPr="00B17024">
        <w:rPr>
          <w:iCs/>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1E0FBB83" w14:textId="77777777" w:rsidR="00B17024" w:rsidRPr="00B17024" w:rsidRDefault="00B17024" w:rsidP="00CC5C88">
      <w:pPr>
        <w:rPr>
          <w:iCs/>
        </w:rPr>
      </w:pPr>
      <w:r w:rsidRPr="00B17024">
        <w:rPr>
          <w:iCs/>
        </w:rPr>
        <w:t>Proiectele cu punctaj ≥ 75 puncte (prag de excelență) intră direct în etapa de verificare contractuală, fără a mai aștepta soluționarea contestațiilor.</w:t>
      </w:r>
    </w:p>
    <w:p w14:paraId="02056D20" w14:textId="77777777" w:rsidR="00B17024" w:rsidRPr="00B17024" w:rsidRDefault="00B17024" w:rsidP="00CC5C88">
      <w:pPr>
        <w:rPr>
          <w:iCs/>
        </w:rPr>
      </w:pPr>
      <w:r w:rsidRPr="00B17024">
        <w:rPr>
          <w:iCs/>
        </w:rPr>
        <w:t xml:space="preserve">Proiectele care la evaluarea tehnică și financiară ating sau depășesc pragul de excelență de cel puțin 75 de puncte și se încadrează în bugetul aferent fiecărui apel de proiecte în parte pot fi introduse direct în etapa de verificare contractuală, în ordinea finalizării evaluărilor, fără a mai aștepta soluționarea contestațiilor depuse. </w:t>
      </w:r>
    </w:p>
    <w:p w14:paraId="31C98537" w14:textId="2538042C" w:rsidR="00A657B7" w:rsidRDefault="00A657B7">
      <w:pPr>
        <w:spacing w:after="0"/>
        <w:ind w:left="0"/>
        <w:rPr>
          <w:iCs/>
        </w:rPr>
      </w:pPr>
    </w:p>
    <w:p w14:paraId="1B0850B2" w14:textId="77777777" w:rsidR="00A657B7" w:rsidRDefault="00245051">
      <w:pPr>
        <w:pStyle w:val="Heading2"/>
      </w:pPr>
      <w:bookmarkStart w:id="209" w:name="_Toc143499344"/>
      <w:bookmarkStart w:id="210" w:name="_Toc213405601"/>
      <w:r>
        <w:lastRenderedPageBreak/>
        <w:t>8.7 Notificarea rezultatului evaluării tehnice și financiare</w:t>
      </w:r>
      <w:bookmarkEnd w:id="209"/>
      <w:bookmarkEnd w:id="210"/>
    </w:p>
    <w:p w14:paraId="290C7B9B" w14:textId="77777777" w:rsidR="00A657B7" w:rsidRDefault="00245051">
      <w:pPr>
        <w:ind w:left="0"/>
      </w:pPr>
      <w: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5EEEB2F6" w14:textId="30280348" w:rsidR="00A657B7" w:rsidRDefault="00245051">
      <w:pPr>
        <w:pStyle w:val="Heading2"/>
      </w:pPr>
      <w:bookmarkStart w:id="211" w:name="_Toc143499345"/>
      <w:bookmarkStart w:id="212" w:name="_Toc213405602"/>
      <w:r>
        <w:t>8.8 Contestații</w:t>
      </w:r>
      <w:bookmarkEnd w:id="211"/>
      <w:bookmarkEnd w:id="212"/>
      <w:r>
        <w:tab/>
      </w:r>
    </w:p>
    <w:p w14:paraId="0654766A" w14:textId="77777777" w:rsidR="00A657B7" w:rsidRDefault="00245051">
      <w:pPr>
        <w:ind w:left="0"/>
      </w:pPr>
      <w:r>
        <w:t>Un solicitant de finanțare nerambursabilă poate formula în scris o singură contestație pe cale administrativă pentru rezultatul comunicat de AM, în termen de 30 de zile calendaristice, calculat de la data comunicării acestuia prin intermediul sistemului informatic MySMIS.</w:t>
      </w:r>
    </w:p>
    <w:p w14:paraId="714F7B53" w14:textId="77777777" w:rsidR="00A657B7" w:rsidRDefault="00245051">
      <w:pPr>
        <w:ind w:left="0"/>
      </w:pPr>
      <w:r>
        <w:t>Contestația trebuie să cuprindă cel puțin următoarele elemente:</w:t>
      </w:r>
    </w:p>
    <w:p w14:paraId="113B0F8C" w14:textId="77777777" w:rsidR="00A657B7" w:rsidRDefault="00245051">
      <w:pPr>
        <w:numPr>
          <w:ilvl w:val="0"/>
          <w:numId w:val="9"/>
        </w:numPr>
        <w:spacing w:after="0"/>
      </w:pPr>
      <w: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21D03305" w14:textId="77777777" w:rsidR="00A657B7" w:rsidRDefault="00245051">
      <w:pPr>
        <w:numPr>
          <w:ilvl w:val="0"/>
          <w:numId w:val="9"/>
        </w:numPr>
        <w:spacing w:before="0" w:after="0"/>
      </w:pPr>
      <w:r>
        <w:t>datele de identificare ale reprezentantului legal al solicitantului;</w:t>
      </w:r>
    </w:p>
    <w:p w14:paraId="4B421365" w14:textId="77777777" w:rsidR="00A657B7" w:rsidRDefault="00245051">
      <w:pPr>
        <w:numPr>
          <w:ilvl w:val="0"/>
          <w:numId w:val="9"/>
        </w:numPr>
        <w:spacing w:before="0" w:after="0"/>
      </w:pPr>
      <w:r>
        <w:t>obiectul contestației;</w:t>
      </w:r>
    </w:p>
    <w:p w14:paraId="40EED598" w14:textId="77777777" w:rsidR="00A657B7" w:rsidRDefault="00245051">
      <w:pPr>
        <w:numPr>
          <w:ilvl w:val="0"/>
          <w:numId w:val="9"/>
        </w:numPr>
        <w:spacing w:before="0" w:after="0"/>
      </w:pPr>
      <w:r>
        <w:t>criteriul/criteriile contestat(e);</w:t>
      </w:r>
    </w:p>
    <w:p w14:paraId="25850222" w14:textId="77777777" w:rsidR="00A657B7" w:rsidRDefault="00245051">
      <w:pPr>
        <w:numPr>
          <w:ilvl w:val="0"/>
          <w:numId w:val="9"/>
        </w:numPr>
        <w:spacing w:before="0" w:after="0"/>
      </w:pPr>
      <w:r>
        <w:t>motivele de fapt și de drept pe care se întemeiază contestația, detaliate pentru fiecare criteriu de evaluare și selecție în parte contestat;</w:t>
      </w:r>
    </w:p>
    <w:p w14:paraId="7AAFAAFD" w14:textId="77777777" w:rsidR="00A657B7" w:rsidRDefault="00245051">
      <w:pPr>
        <w:numPr>
          <w:ilvl w:val="0"/>
          <w:numId w:val="9"/>
        </w:numPr>
        <w:spacing w:before="0"/>
      </w:pPr>
      <w:r>
        <w:t xml:space="preserve">semnătura reprezentantului legal/împuternicitului solicitantului. </w:t>
      </w:r>
    </w:p>
    <w:p w14:paraId="403FA78B" w14:textId="77777777" w:rsidR="00A657B7" w:rsidRDefault="00245051">
      <w:pPr>
        <w:ind w:left="0"/>
      </w:pPr>
      <w:r>
        <w:t>Nu se acceptă contestații asupra procesului de evaluare, selecție și contractare semnate de alte persoane decât reprezentantul legal al solicitantului. Contestațiile transmise de alte persoane nu vor fi analizate și vor fi clasate.</w:t>
      </w:r>
    </w:p>
    <w:p w14:paraId="650B4E3E" w14:textId="77777777" w:rsidR="00A657B7" w:rsidRDefault="00245051">
      <w:pPr>
        <w:ind w:left="0"/>
      </w:pPr>
      <w:r>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7DC59D0D" w14:textId="77777777" w:rsidR="00A657B7" w:rsidRDefault="00245051">
      <w:pPr>
        <w:ind w:left="0"/>
      </w:pPr>
      <w:r>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2126F795" w14:textId="77777777" w:rsidR="00A657B7" w:rsidRDefault="00245051">
      <w:pPr>
        <w:ind w:left="0"/>
      </w:pPr>
      <w:r>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6EF4CC58" w14:textId="77777777" w:rsidR="00A657B7" w:rsidRDefault="00245051">
      <w:pPr>
        <w:ind w:left="0"/>
      </w:pPr>
      <w:r>
        <w:t>În cazul în care contestatarul nu prezintă motivele de fapt şi de drept, dovezile pe care se întemeiază contestaţia, aceasta nu are obiect de analiză și prin urmare se va respinge.</w:t>
      </w:r>
    </w:p>
    <w:p w14:paraId="4050352B" w14:textId="77777777" w:rsidR="00A657B7" w:rsidRDefault="00245051">
      <w:pPr>
        <w:ind w:left="0"/>
      </w:pPr>
      <w:r>
        <w:t>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contestație în interiorul termenului general de depunere a acesteia.</w:t>
      </w:r>
    </w:p>
    <w:p w14:paraId="60148D5C" w14:textId="77777777" w:rsidR="00A657B7" w:rsidRDefault="00245051">
      <w:pPr>
        <w:ind w:left="0"/>
      </w:pPr>
      <w:r>
        <w:t>Decizia AM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F7FDAFE" w14:textId="77777777" w:rsidR="00A657B7" w:rsidRDefault="00245051">
      <w:pPr>
        <w:pStyle w:val="Heading2"/>
      </w:pPr>
      <w:bookmarkStart w:id="213" w:name="_Toc143499346"/>
      <w:bookmarkStart w:id="214" w:name="_Toc213405603"/>
      <w:r>
        <w:t>8.9 Contractarea proiectelor</w:t>
      </w:r>
      <w:bookmarkEnd w:id="213"/>
      <w:bookmarkEnd w:id="214"/>
    </w:p>
    <w:p w14:paraId="3700EA36" w14:textId="77777777" w:rsidR="00A657B7" w:rsidRDefault="00A657B7"/>
    <w:p w14:paraId="3925EC57" w14:textId="77777777" w:rsidR="00A657B7" w:rsidRDefault="00245051">
      <w:pPr>
        <w:pStyle w:val="Heading3"/>
        <w:numPr>
          <w:ilvl w:val="0"/>
          <w:numId w:val="0"/>
        </w:numPr>
      </w:pPr>
      <w:bookmarkStart w:id="215" w:name="_heading=h.3mzq4wv"/>
      <w:bookmarkStart w:id="216" w:name="_Toc213405604"/>
      <w:bookmarkEnd w:id="215"/>
      <w:r>
        <w:t>8.9.1 Verificarea îndeplinirii condițiilor de eligibilitate</w:t>
      </w:r>
      <w:bookmarkEnd w:id="216"/>
      <w:r>
        <w:t xml:space="preserve"> </w:t>
      </w:r>
    </w:p>
    <w:p w14:paraId="7EE88D75" w14:textId="77777777" w:rsidR="00A657B7" w:rsidRDefault="00A657B7">
      <w:pPr>
        <w:spacing w:before="0" w:after="0"/>
        <w:ind w:left="0"/>
      </w:pPr>
    </w:p>
    <w:p w14:paraId="3A87C920" w14:textId="77777777" w:rsidR="00A657B7" w:rsidRDefault="00245051">
      <w:pPr>
        <w:spacing w:before="0" w:after="0"/>
        <w:ind w:left="0"/>
      </w:pPr>
      <w:r>
        <w:lastRenderedPageBreak/>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p>
    <w:p w14:paraId="063BA1C7" w14:textId="77777777" w:rsidR="00A657B7" w:rsidRDefault="00A657B7">
      <w:pPr>
        <w:spacing w:before="0" w:after="0"/>
        <w:ind w:left="0"/>
      </w:pPr>
    </w:p>
    <w:p w14:paraId="38B9F7E8" w14:textId="77777777" w:rsidR="00A657B7" w:rsidRDefault="00245051">
      <w:pPr>
        <w:spacing w:before="0" w:after="0"/>
        <w:ind w:left="0"/>
      </w:pPr>
      <w:r>
        <w:t>Solicitantul transmite documentele solicitate în etapa de contractare, sub sancțiunea respingerii cererii de finanțare, în termen de 15 zile lucrătoare, calculat de la data primirii solicitării AMPTJ/OI PTJ.</w:t>
      </w:r>
    </w:p>
    <w:p w14:paraId="516843FD" w14:textId="77777777" w:rsidR="00A657B7" w:rsidRDefault="00A657B7">
      <w:pPr>
        <w:spacing w:before="0" w:after="0"/>
        <w:ind w:left="0"/>
      </w:pPr>
    </w:p>
    <w:p w14:paraId="28053068" w14:textId="77777777" w:rsidR="00A657B7" w:rsidRDefault="00245051">
      <w:pPr>
        <w:spacing w:before="0" w:after="0"/>
        <w:ind w:left="0"/>
      </w:pPr>
      <w:r>
        <w:t>Intrarea în etapa de contractare este adusă la cunoștința solicitantului prin aplicația informatică MySMIS2021/SMIS2021+.</w:t>
      </w:r>
    </w:p>
    <w:p w14:paraId="6A1EC40B" w14:textId="77777777" w:rsidR="00A657B7" w:rsidRDefault="00A657B7">
      <w:pPr>
        <w:spacing w:before="0" w:after="0"/>
        <w:ind w:left="0"/>
      </w:pPr>
    </w:p>
    <w:p w14:paraId="3953D807" w14:textId="77777777" w:rsidR="00A657B7" w:rsidRDefault="00245051">
      <w:pPr>
        <w:spacing w:before="0" w:after="0"/>
        <w:ind w:left="0"/>
      </w:pPr>
      <w:bookmarkStart w:id="217" w:name="_heading=h.2250f4o"/>
      <w:bookmarkEnd w:id="217"/>
      <w:r>
        <w:t xml:space="preserve">Verificarea contractuală se realizează pentru proiectele care îndeplinesc condițiile de punctaj și încadrare în alocarea disponibilă, potrivit prevederilor ce reglementează derularea apelului de proiecte. </w:t>
      </w:r>
    </w:p>
    <w:p w14:paraId="60934BF3" w14:textId="77777777" w:rsidR="00A657B7" w:rsidRDefault="00A657B7">
      <w:pPr>
        <w:spacing w:before="0" w:after="0"/>
        <w:ind w:left="0"/>
      </w:pPr>
    </w:p>
    <w:p w14:paraId="0DD58717" w14:textId="77777777" w:rsidR="00A657B7" w:rsidRDefault="00245051">
      <w:pPr>
        <w:spacing w:before="0" w:after="0"/>
        <w:ind w:left="0"/>
        <w:rPr>
          <w:b/>
          <w:bCs/>
        </w:rPr>
      </w:pPr>
      <w:r>
        <w:t xml:space="preserve">Verificarea contractuală presupune analizarea respectării condițiilor de eligibilitate, în baza documentelor solicitate în acest sens, ca dovadă a celor declarate prin Declarația unică, respectiv a eventualelor clarificări solicitate în acest sens. A se vedea  </w:t>
      </w:r>
      <w:r>
        <w:rPr>
          <w:b/>
          <w:bCs/>
        </w:rPr>
        <w:t>anexa 14.9 la prezentul ghid.</w:t>
      </w:r>
    </w:p>
    <w:p w14:paraId="53AC40B7" w14:textId="77777777" w:rsidR="00A657B7" w:rsidRDefault="00A657B7">
      <w:pPr>
        <w:spacing w:before="0" w:after="0"/>
        <w:ind w:left="0"/>
      </w:pPr>
    </w:p>
    <w:p w14:paraId="123B91A3" w14:textId="77777777" w:rsidR="00A657B7" w:rsidRDefault="00245051">
      <w:pPr>
        <w:spacing w:before="0" w:after="0"/>
        <w:ind w:left="0"/>
      </w:pPr>
      <w:r>
        <w:t>Inducerea în eroare a AM PTJ/OI PTJ prin încărcarea în My</w:t>
      </w:r>
      <w:sdt>
        <w:sdtPr>
          <w:tag w:val="goog_rdk_330"/>
          <w:id w:val="655874636"/>
        </w:sdtPr>
        <w:sdtEndPr/>
        <w:sdtContent>
          <w:r>
            <w:t xml:space="preserve"> </w:t>
          </w:r>
        </w:sdtContent>
      </w:sdt>
      <w:r>
        <w:t>SMIS 2021/SMIS 2021+ a unor documente necorelate/incomplete va conduce la respingerea cererii de finanțare.</w:t>
      </w:r>
    </w:p>
    <w:p w14:paraId="124ED5F0" w14:textId="77777777" w:rsidR="00A657B7" w:rsidRDefault="00A657B7">
      <w:pPr>
        <w:spacing w:before="0" w:after="0"/>
        <w:ind w:left="0"/>
      </w:pPr>
    </w:p>
    <w:p w14:paraId="757202BE" w14:textId="77777777" w:rsidR="00A657B7" w:rsidRDefault="00245051">
      <w:pPr>
        <w:spacing w:before="0" w:after="0"/>
        <w:ind w:left="0"/>
      </w:pPr>
      <w:r>
        <w:t>Proiectele care nu îndeplinesc condițiile de punctaj și încadrare în alocarea disponibilă, potrivit prevederilor ce reglementează derularea apelului de proiecte, vor fi incluse într-o listă de rezervă. Proiectele din lista de rezervă vor fi luate în considerare în situația disponibilizării unor fonduri suplimentare.</w:t>
      </w:r>
    </w:p>
    <w:p w14:paraId="31E039D2" w14:textId="77777777" w:rsidR="00A657B7" w:rsidRDefault="00A657B7">
      <w:pPr>
        <w:spacing w:before="0" w:after="0"/>
        <w:ind w:left="0"/>
      </w:pPr>
    </w:p>
    <w:p w14:paraId="0216FE71" w14:textId="77777777" w:rsidR="00A657B7" w:rsidRDefault="00245051">
      <w:pPr>
        <w:spacing w:before="0" w:after="0"/>
        <w:ind w:left="0"/>
      </w:pPr>
      <w:r>
        <w:t>AM/OI poate solicita dovada îndeplinirii oricăreia din condițiile de acordare a finanțării (eligibilitate, selecție în baza criteriilor de evaluare tehnică și financiară) și poate solicita clarificări asupra oricărui aspect ce face obiectul Declarației unice. Dacă solicitantul nu face dovada îndeplinirii acestor condiții, proiectul va fi respins.</w:t>
      </w:r>
    </w:p>
    <w:p w14:paraId="472BDDA9" w14:textId="77777777" w:rsidR="00A657B7" w:rsidRDefault="00245051">
      <w:pPr>
        <w:spacing w:before="0" w:after="0"/>
        <w:ind w:left="0"/>
      </w:pPr>
      <w:r>
        <w:t xml:space="preserve">În cadrul acestui apel de proiecte, nu se aplică prevederile referitoare la contractarea cu clauză rezolutorie (potrivit art. 6 alin (11) din Ordonanța de Urgență nr. 23 din 12 aprilie 2023). </w:t>
      </w:r>
    </w:p>
    <w:p w14:paraId="78E38777" w14:textId="77777777" w:rsidR="00A657B7" w:rsidRDefault="00A657B7">
      <w:pPr>
        <w:spacing w:before="0" w:after="0"/>
        <w:ind w:left="0"/>
      </w:pPr>
    </w:p>
    <w:p w14:paraId="4BD0E6BA" w14:textId="77777777" w:rsidR="00A657B7" w:rsidRDefault="00245051">
      <w:pPr>
        <w:spacing w:before="0" w:after="0"/>
        <w:ind w:left="0"/>
      </w:pPr>
      <w: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28304936" w14:textId="77777777" w:rsidR="00A657B7" w:rsidRDefault="00245051">
      <w:pPr>
        <w:spacing w:before="0" w:after="0"/>
        <w:ind w:left="0"/>
      </w:pPr>
      <w:r>
        <w:t>Anterior încheierii contractelor de finanțare AMPTJ/OIPTJ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verificărilor respective, AMPTJ, prin OIPTJ, va emite decizia de aprobare a finanțării/decizia de respingere a finanțării, având la bază veri</w:t>
      </w:r>
      <w:r>
        <w:t>ficările realizate de OIPTJ, în conformitate cu acordul de delegare atribuții și cu prevederile procedurale interne. Decizia respectivă se comunică solicitantului prin sistemul informatic  MySMIS2021/SMIS2021.</w:t>
      </w:r>
    </w:p>
    <w:p w14:paraId="5F7555B6" w14:textId="77777777" w:rsidR="00A657B7" w:rsidRDefault="00A657B7">
      <w:pPr>
        <w:spacing w:before="0" w:after="0"/>
        <w:ind w:left="0"/>
      </w:pPr>
    </w:p>
    <w:p w14:paraId="336610B1" w14:textId="77777777" w:rsidR="00A657B7" w:rsidRDefault="00245051">
      <w:pPr>
        <w:pStyle w:val="Heading3"/>
        <w:numPr>
          <w:ilvl w:val="0"/>
          <w:numId w:val="0"/>
        </w:numPr>
      </w:pPr>
      <w:bookmarkStart w:id="218" w:name="_Toc213405605"/>
      <w:r>
        <w:t>8.9.2 Decizia de acordare/respingere a finanțării</w:t>
      </w:r>
      <w:bookmarkEnd w:id="218"/>
      <w:r>
        <w:t xml:space="preserve"> </w:t>
      </w:r>
    </w:p>
    <w:p w14:paraId="6D9B2D84" w14:textId="77777777" w:rsidR="00A657B7" w:rsidRDefault="00245051">
      <w:pPr>
        <w:ind w:left="0"/>
      </w:pPr>
      <w:r>
        <w:t xml:space="preserve">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w:t>
      </w:r>
      <w:r>
        <w:t>parteneriatului constituit.</w:t>
      </w:r>
    </w:p>
    <w:p w14:paraId="752E0B46" w14:textId="77777777" w:rsidR="00A657B7" w:rsidRDefault="00245051">
      <w:pPr>
        <w:spacing w:before="240" w:after="240"/>
        <w:ind w:left="0"/>
      </w:pPr>
      <w:r>
        <w:lastRenderedPageBreak/>
        <w:t>Pentru proiectele respinse se emite decizia de respingere a finanțării, în etapa de contractare, cu menționarea motivelor de respingere, dacă intervine cel puțin una dintre următoarele situații, fără ca enumerarea să excludă alte condiții specifice prevăzute de prezentul ghid:</w:t>
      </w:r>
    </w:p>
    <w:p w14:paraId="0273730C" w14:textId="77777777" w:rsidR="00A657B7" w:rsidRDefault="00245051">
      <w:pPr>
        <w:pStyle w:val="ListParagraph"/>
        <w:numPr>
          <w:ilvl w:val="1"/>
          <w:numId w:val="17"/>
        </w:numPr>
        <w:spacing w:before="240" w:after="240"/>
      </w:pPr>
      <w:r>
        <w:t>solicitantul nu face dovada că cele declarate prin declarația unică sunt conforme cu realitatea și corespund cerințelor din prezentul ghid;</w:t>
      </w:r>
    </w:p>
    <w:p w14:paraId="22113527" w14:textId="77777777" w:rsidR="00A657B7" w:rsidRDefault="00245051">
      <w:pPr>
        <w:pStyle w:val="ListParagraph"/>
        <w:numPr>
          <w:ilvl w:val="1"/>
          <w:numId w:val="17"/>
        </w:numPr>
      </w:pPr>
      <w:r>
        <w:t>solicitantul nu răspunde în termenele prevăzute în etapa de contractare privind transmiterea documentelor în cadrul acestei etape și/sau termenul privind solicitarea de clarificări mai sus menționate</w:t>
      </w:r>
    </w:p>
    <w:p w14:paraId="0930EFF1" w14:textId="77777777" w:rsidR="00A657B7" w:rsidRDefault="00245051">
      <w:pPr>
        <w:ind w:left="0"/>
      </w:pPr>
      <w: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571A1B4" w14:textId="77777777" w:rsidR="00A657B7" w:rsidRDefault="00245051">
      <w:pPr>
        <w:ind w:left="0"/>
      </w:pPr>
      <w:r>
        <w:t xml:space="preserve">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 în condițiile menționate în </w:t>
      </w:r>
      <w:r>
        <w:rPr>
          <w:b/>
          <w:bCs/>
        </w:rPr>
        <w:t>secțiunea 8.8 a prezentului ghid.</w:t>
      </w:r>
    </w:p>
    <w:p w14:paraId="63555639" w14:textId="77777777" w:rsidR="00A657B7" w:rsidRDefault="00A657B7"/>
    <w:p w14:paraId="5BD9AEC2" w14:textId="77777777" w:rsidR="00A657B7" w:rsidRDefault="00245051">
      <w:pPr>
        <w:pStyle w:val="Heading3"/>
        <w:numPr>
          <w:ilvl w:val="0"/>
          <w:numId w:val="0"/>
        </w:numPr>
      </w:pPr>
      <w:bookmarkStart w:id="219" w:name="_Toc213405606"/>
      <w:r>
        <w:t>8.9.3 Definitivarea planului de monitorizare a proiectului</w:t>
      </w:r>
      <w:bookmarkEnd w:id="219"/>
    </w:p>
    <w:p w14:paraId="49123173" w14:textId="77777777" w:rsidR="00A657B7" w:rsidRDefault="00245051">
      <w:pPr>
        <w:ind w:left="0"/>
      </w:pPr>
      <w:r>
        <w:t>Planul de monitorizare  a proiectului este parte integrantă a contractului de finanțare și cuprinde:</w:t>
      </w:r>
    </w:p>
    <w:p w14:paraId="59FFF4F9" w14:textId="77777777" w:rsidR="00A657B7" w:rsidRDefault="00245051">
      <w:pPr>
        <w:numPr>
          <w:ilvl w:val="0"/>
          <w:numId w:val="8"/>
        </w:numPr>
      </w:pPr>
      <w:r>
        <w:t>indicatorii de etapă stabiliți pentru perioada de implementare a proiectului, pe baza cărora se monitorizează și se evaluează progresul implementării proiectului;</w:t>
      </w:r>
    </w:p>
    <w:p w14:paraId="4B65D963" w14:textId="77777777" w:rsidR="00A657B7" w:rsidRDefault="00245051">
      <w:pPr>
        <w:numPr>
          <w:ilvl w:val="0"/>
          <w:numId w:val="8"/>
        </w:numPr>
      </w:pPr>
      <w: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1D517825" w14:textId="77777777" w:rsidR="00A657B7" w:rsidRDefault="00245051">
      <w:pPr>
        <w:numPr>
          <w:ilvl w:val="0"/>
          <w:numId w:val="8"/>
        </w:numPr>
      </w:pPr>
      <w:r>
        <w:t>valorile țintelor finale ale indicatorilor de realizare și de rezultat care trebuie atinse ca urmare a implementării proiectului.</w:t>
      </w:r>
    </w:p>
    <w:p w14:paraId="597ADA5D" w14:textId="77777777" w:rsidR="00A657B7" w:rsidRDefault="00245051">
      <w:pPr>
        <w:ind w:left="0"/>
      </w:pPr>
      <w:r>
        <w:t>Pe baza informațiilor incluse în cererea de finanțare și, dacă este cazul, a informațiilor suplimentare solicitate beneficiarului, autoritatea de management după caz, verifică și validează indicatorii de etapă care sunt/ vor fi prevăzuți în Planul de monitorizare a proiectului.</w:t>
      </w:r>
    </w:p>
    <w:p w14:paraId="59180118" w14:textId="77777777" w:rsidR="00A657B7" w:rsidRDefault="00245051">
      <w:pPr>
        <w:ind w:left="0"/>
      </w:pPr>
      <w:r>
        <w:t xml:space="preserve">În cazul proiectelor de investiţii, indicatorii de etapă se raportează atât la stadiul pregătirii, derulării  procedurilor de achiziţii, la semnarea contractelor de achiziții, la obținerea acordurilor/avizelor/ autorizațiilor necesare pentru implementarea proiectelor, la progresul execuției lucrărilor, aferente activității de bază, cât şi la atingerea unui stadiu financiar. </w:t>
      </w:r>
    </w:p>
    <w:p w14:paraId="08EED15C" w14:textId="77777777" w:rsidR="00A657B7" w:rsidRDefault="00245051">
      <w:pPr>
        <w:ind w:left="0"/>
      </w:pPr>
      <w:r>
        <w:t>În etapa de contractare, Planul de monitorizare a proiectului poate fi actualizat, ca urmare a recomandărilor rezultate din etapa de evaluare și selecție a cererii de finanțare.</w:t>
      </w:r>
    </w:p>
    <w:p w14:paraId="4CE26F84" w14:textId="77777777" w:rsidR="00A657B7" w:rsidRDefault="00A657B7">
      <w:pPr>
        <w:ind w:left="0"/>
      </w:pPr>
    </w:p>
    <w:p w14:paraId="25DD0487" w14:textId="77777777" w:rsidR="00A657B7" w:rsidRDefault="00245051">
      <w:pPr>
        <w:ind w:left="0"/>
      </w:pPr>
      <w:r>
        <w:t>Planul de monitorizare a proiectului poate face obiectul unor modificări prin act adițional la contractul de finanțare.</w:t>
      </w:r>
    </w:p>
    <w:p w14:paraId="2B038643" w14:textId="77777777" w:rsidR="00A657B7" w:rsidRDefault="00245051">
      <w:pPr>
        <w:ind w:left="0"/>
      </w:pPr>
      <w:r>
        <w:t>Planul de monitorizează se realizează în conformitate cu prevederile ordinului MIPE nr. _________pentru aprobarea orientărilor metodologice privind indicatorii de etapă prevăzute la art. 14 alin. (5) din Ordonanța de urgență a Guvernului nr. 23/2023 privind instituirea unor măsuri de simplificare şi digitalizare pentru gestionarea fondurilor europene aferente Politicii de coeziune 2021 – 2027.</w:t>
      </w:r>
    </w:p>
    <w:p w14:paraId="41427C4D" w14:textId="77777777" w:rsidR="00A657B7" w:rsidRDefault="00A657B7">
      <w:pPr>
        <w:ind w:left="0"/>
      </w:pPr>
    </w:p>
    <w:p w14:paraId="2EA76626" w14:textId="77777777" w:rsidR="00A657B7" w:rsidRDefault="00245051">
      <w:pPr>
        <w:pStyle w:val="Heading3"/>
        <w:numPr>
          <w:ilvl w:val="0"/>
          <w:numId w:val="0"/>
        </w:numPr>
        <w:rPr>
          <w:color w:val="auto"/>
        </w:rPr>
      </w:pPr>
      <w:bookmarkStart w:id="220" w:name="_Toc213405607"/>
      <w:r>
        <w:t>8.9.4 Semnarea contractului de finanțare /emiterea deciziei de finanțare</w:t>
      </w:r>
      <w:bookmarkEnd w:id="220"/>
    </w:p>
    <w:p w14:paraId="6F73C94C" w14:textId="77777777" w:rsidR="008504A1" w:rsidRPr="008504A1" w:rsidRDefault="008504A1" w:rsidP="00BB5B28">
      <w:bookmarkStart w:id="221" w:name="_Toc143499347"/>
      <w:r w:rsidRPr="008504A1">
        <w:t xml:space="preserve">Finanțarea nerambursabilă acordată este stabilită în termenii și condițiile contractului de finanțare. Beneficiarul are obligația și responsabilitatea să asigure managementul și implementarea proiectului </w:t>
      </w:r>
      <w:r w:rsidRPr="008504A1">
        <w:lastRenderedPageBreak/>
        <w:t>în concordanță cu prevederile contractului de finanțare, ale legislației europene şi naționale, aplicabile.</w:t>
      </w:r>
    </w:p>
    <w:p w14:paraId="47FE5807" w14:textId="77777777" w:rsidR="008504A1" w:rsidRPr="008504A1" w:rsidRDefault="008504A1" w:rsidP="00BB5B28">
      <w:r w:rsidRPr="008504A1">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1B3522B3" w14:textId="77777777" w:rsidR="008504A1" w:rsidRDefault="008504A1" w:rsidP="00BB5B28">
      <w:r w:rsidRPr="008504A1">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p w14:paraId="6D690D0B" w14:textId="54C16B10" w:rsidR="00A657B7" w:rsidRDefault="00245051" w:rsidP="008504A1">
      <w:pPr>
        <w:pStyle w:val="Heading1"/>
      </w:pPr>
      <w:bookmarkStart w:id="222" w:name="_Toc213405608"/>
      <w:r>
        <w:t>9 ASPECTE PRIVIND CONFLICTUL DE INTERESE</w:t>
      </w:r>
      <w:bookmarkEnd w:id="221"/>
      <w:bookmarkEnd w:id="222"/>
    </w:p>
    <w:p w14:paraId="72264951" w14:textId="77777777" w:rsidR="00A657B7" w:rsidRDefault="00245051">
      <w:pPr>
        <w:ind w:left="0"/>
      </w:pPr>
      <w:r>
        <w:t>Încă de la elaborarea cererii de finanțare precum și pe toată perioada implementării proiectului, beneficiarii vor trebui să respecte prevederile legale europene și naționale în vigoare referitoare la conflictul de interese.</w:t>
      </w:r>
    </w:p>
    <w:p w14:paraId="41D79F0A" w14:textId="77777777" w:rsidR="00A657B7" w:rsidRDefault="00245051">
      <w:pPr>
        <w:ind w:left="0"/>
      </w:pPr>
      <w:r>
        <w:t xml:space="preserve">Obligațiile beneficiarilor privind respectarea prevederilor legale europene și naționale în vigoare sunt menționate la art. „11- Conflictul de interese și incompatibilități” din modelul contractului de finanțare, aprobat prin </w:t>
      </w:r>
      <w:r>
        <w:rPr>
          <w:color w:val="FF0000"/>
        </w:rPr>
        <w:t xml:space="preserve">Ordinul MIPE nr........ </w:t>
      </w:r>
      <w:r>
        <w:t xml:space="preserve">pentru aprobarea modelului Contractului de finanțare prevăzut la art. 14 alin. (2) din Ordonanța de urgență a Guvernului nr. 23/2023 privind instituirea unor măsuri de simplificare și digitalizare pentru gestionarea fondurilor europene aferente Politicii de coeziune 2021 – 2027. </w:t>
      </w:r>
    </w:p>
    <w:p w14:paraId="1193BE27" w14:textId="77777777" w:rsidR="00A657B7" w:rsidRDefault="00A657B7">
      <w:pPr>
        <w:ind w:left="0"/>
        <w:rPr>
          <w:color w:val="FF0000"/>
        </w:rPr>
      </w:pPr>
    </w:p>
    <w:p w14:paraId="55BE621C" w14:textId="34412349" w:rsidR="00A657B7" w:rsidRDefault="00245051" w:rsidP="00C0006D">
      <w:pPr>
        <w:pStyle w:val="Heading1"/>
      </w:pPr>
      <w:bookmarkStart w:id="223" w:name="_Toc143499348"/>
      <w:bookmarkStart w:id="224" w:name="_Toc213405609"/>
      <w:r>
        <w:t>10 ASPECTE PRIVIND PRELUCRAREA DATELOR CU CARACTER PERSONAL</w:t>
      </w:r>
      <w:bookmarkEnd w:id="223"/>
      <w:bookmarkEnd w:id="224"/>
    </w:p>
    <w:p w14:paraId="03C6B167" w14:textId="77777777" w:rsidR="00A657B7" w:rsidRDefault="00245051">
      <w:pPr>
        <w:ind w:left="0"/>
      </w:pPr>
      <w: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contractul de finanțare/decizia de finanțare, în limitele de responsabilitate și pentru exercitarea responsabilităților și atribuțiilor care le revin în implementarea și managementul programelor fin</w:t>
      </w:r>
      <w:r>
        <w:t>anțate în cadrul politicii de coeziune 2021-2027, care fac obiectul Ordonanței de urgență a Guvernului nr. 23/2023. În acest sens, Declarația unică anexată cererii de finanțare, include prevederi referitoare la consimțământul privind prelucrarea datelor cu caracter personal.</w:t>
      </w:r>
    </w:p>
    <w:p w14:paraId="78907F1A" w14:textId="77777777" w:rsidR="00A657B7" w:rsidRDefault="00245051">
      <w:pPr>
        <w:pStyle w:val="Heading1"/>
      </w:pPr>
      <w:bookmarkStart w:id="225" w:name="_Toc143499349"/>
      <w:bookmarkStart w:id="226" w:name="_Toc213405610"/>
      <w:r>
        <w:t>11 ASPECTE PRIVIND MONITORIZAREA TEHNICĂ ȘI RAPOARTELE DE PROGRES</w:t>
      </w:r>
      <w:bookmarkEnd w:id="225"/>
      <w:bookmarkEnd w:id="226"/>
      <w:r>
        <w:t xml:space="preserve"> </w:t>
      </w:r>
    </w:p>
    <w:p w14:paraId="5A68FB9C" w14:textId="77777777" w:rsidR="00A657B7" w:rsidRDefault="00245051">
      <w:pPr>
        <w:spacing w:before="0" w:after="0"/>
        <w:ind w:left="0"/>
      </w:pPr>
      <w:r>
        <w:t>Procesul de monitorizare se realizează pe baza contractului de finanțare și a anexelor la acesta/aceasta având la baza Planul de monitorizare a proiectului, parte integrantă a contractului de finanțare.</w:t>
      </w:r>
    </w:p>
    <w:p w14:paraId="0889708F" w14:textId="77777777" w:rsidR="00A657B7" w:rsidRDefault="00245051">
      <w:pPr>
        <w:spacing w:before="0" w:after="0"/>
        <w:ind w:left="0"/>
      </w:pPr>
      <w:r>
        <w:t xml:space="preserve"> </w:t>
      </w:r>
    </w:p>
    <w:p w14:paraId="1BAFCC1C" w14:textId="77777777" w:rsidR="00A657B7" w:rsidRDefault="00245051">
      <w:pPr>
        <w:spacing w:before="0" w:after="0"/>
        <w:ind w:left="0"/>
      </w:pPr>
      <w:r>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w:t>
      </w:r>
      <w:r>
        <w:t xml:space="preserve">oeziune 2021—2027. </w:t>
      </w:r>
    </w:p>
    <w:p w14:paraId="4235FD74" w14:textId="77777777" w:rsidR="00A657B7" w:rsidRDefault="00245051">
      <w:pPr>
        <w:spacing w:before="0" w:after="0"/>
        <w:ind w:left="0"/>
      </w:pPr>
      <w:r>
        <w:t xml:space="preserve"> </w:t>
      </w:r>
    </w:p>
    <w:p w14:paraId="2C491638" w14:textId="77777777" w:rsidR="00A657B7" w:rsidRDefault="00245051">
      <w:pPr>
        <w:spacing w:before="0" w:after="0"/>
        <w:ind w:left="0"/>
      </w:pPr>
      <w:r>
        <w:t>Procesul de monitorizare a proiectelor se realizează prin:</w:t>
      </w:r>
    </w:p>
    <w:p w14:paraId="0AE63C56" w14:textId="77777777" w:rsidR="00A657B7" w:rsidRDefault="00245051">
      <w:pPr>
        <w:spacing w:before="0" w:after="0"/>
        <w:ind w:left="0"/>
      </w:pPr>
      <w:r>
        <w:t xml:space="preserve"> </w:t>
      </w:r>
    </w:p>
    <w:p w14:paraId="3DA5687D" w14:textId="77777777" w:rsidR="00A657B7" w:rsidRDefault="00245051">
      <w:pPr>
        <w:pStyle w:val="ListParagraph"/>
        <w:numPr>
          <w:ilvl w:val="1"/>
          <w:numId w:val="18"/>
        </w:numPr>
        <w:spacing w:before="0" w:after="0"/>
        <w:ind w:left="1890" w:hanging="540"/>
      </w:pPr>
      <w:r>
        <w:lastRenderedPageBreak/>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DA65490" w14:textId="77777777" w:rsidR="00A657B7" w:rsidRDefault="00245051">
      <w:pPr>
        <w:pStyle w:val="ListParagraph"/>
        <w:numPr>
          <w:ilvl w:val="1"/>
          <w:numId w:val="18"/>
        </w:numPr>
        <w:spacing w:before="0" w:after="0"/>
        <w:ind w:left="1890" w:hanging="540"/>
      </w:pPr>
      <w:r>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4106C0ED" w14:textId="77777777" w:rsidR="00A657B7" w:rsidRDefault="00245051">
      <w:pPr>
        <w:pStyle w:val="ListParagraph"/>
        <w:numPr>
          <w:ilvl w:val="1"/>
          <w:numId w:val="18"/>
        </w:numPr>
        <w:spacing w:before="0" w:after="0"/>
        <w:ind w:left="1890" w:hanging="540"/>
      </w:pPr>
      <w: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3B2408CF" w14:textId="77777777" w:rsidR="00A657B7" w:rsidRDefault="00245051">
      <w:pPr>
        <w:pStyle w:val="ListParagraph"/>
        <w:numPr>
          <w:ilvl w:val="1"/>
          <w:numId w:val="18"/>
        </w:numPr>
        <w:spacing w:before="0" w:after="0"/>
        <w:ind w:left="1890" w:hanging="540"/>
      </w:pPr>
      <w:r>
        <w:t>analizarea stadiului implementării proiectelor în vederea modificării, suspendării, rezilierii, rezoluțiunii contractului de finanțare conform prevederilor contractuale.</w:t>
      </w:r>
    </w:p>
    <w:p w14:paraId="7072B654" w14:textId="77777777" w:rsidR="00A657B7" w:rsidRDefault="00A657B7">
      <w:pPr>
        <w:spacing w:before="0" w:after="0"/>
        <w:ind w:left="0"/>
      </w:pPr>
    </w:p>
    <w:p w14:paraId="7BC99924" w14:textId="77777777" w:rsidR="00A657B7" w:rsidRDefault="00245051">
      <w:pPr>
        <w:spacing w:before="0" w:after="0"/>
        <w:ind w:left="0"/>
      </w:pPr>
      <w:r>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4F830" w14:textId="77777777" w:rsidR="00A657B7" w:rsidRDefault="00A657B7"/>
    <w:p w14:paraId="59B1F186" w14:textId="77777777" w:rsidR="00A657B7" w:rsidRDefault="00245051">
      <w:pPr>
        <w:pStyle w:val="Heading2"/>
      </w:pPr>
      <w:bookmarkStart w:id="227" w:name="_Toc143499350"/>
      <w:bookmarkStart w:id="228" w:name="_Toc213405611"/>
      <w:r>
        <w:t>11.1 Rapoartele de progres</w:t>
      </w:r>
      <w:bookmarkEnd w:id="227"/>
      <w:bookmarkEnd w:id="228"/>
      <w:r>
        <w:t xml:space="preserve">  </w:t>
      </w:r>
    </w:p>
    <w:p w14:paraId="1A8B8257" w14:textId="77777777" w:rsidR="00A657B7" w:rsidRDefault="00A657B7">
      <w:pPr>
        <w:spacing w:before="0" w:after="0"/>
        <w:ind w:left="0"/>
      </w:pPr>
    </w:p>
    <w:p w14:paraId="75141114" w14:textId="77777777" w:rsidR="00A657B7" w:rsidRDefault="00245051">
      <w:pPr>
        <w:spacing w:before="0" w:after="0"/>
        <w:ind w:left="0"/>
      </w:pPr>
      <w: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1DE0256D" w14:textId="77777777" w:rsidR="00A657B7" w:rsidRDefault="00A657B7">
      <w:pPr>
        <w:spacing w:before="0" w:after="0"/>
        <w:ind w:left="0"/>
      </w:pPr>
    </w:p>
    <w:p w14:paraId="3B08957F" w14:textId="77777777" w:rsidR="00A657B7" w:rsidRDefault="00245051">
      <w:pPr>
        <w:spacing w:before="0" w:after="0"/>
        <w:ind w:left="0"/>
      </w:pPr>
      <w:r>
        <w:t xml:space="preserve">RP se generează prin intermediul aplicației informatice MySMIS2021/SMIS2021+ de către beneficiar și se transmit trimestrial, în termen de 30 zile de la finalizarea perioadei de raportare. </w:t>
      </w:r>
    </w:p>
    <w:p w14:paraId="535C0D3D" w14:textId="77777777" w:rsidR="00A657B7" w:rsidRDefault="00A657B7">
      <w:pPr>
        <w:spacing w:before="0" w:after="0"/>
        <w:ind w:left="0"/>
      </w:pPr>
    </w:p>
    <w:p w14:paraId="0D74D0C7" w14:textId="77777777" w:rsidR="00A657B7" w:rsidRDefault="00245051">
      <w:pPr>
        <w:spacing w:before="0" w:after="0"/>
        <w:ind w:left="0"/>
      </w:pPr>
      <w: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57A202F" w14:textId="77777777" w:rsidR="00A657B7" w:rsidRDefault="00A657B7">
      <w:pPr>
        <w:spacing w:before="0" w:after="0"/>
        <w:ind w:left="0"/>
      </w:pPr>
    </w:p>
    <w:p w14:paraId="49318643" w14:textId="77777777" w:rsidR="00A657B7" w:rsidRDefault="00245051">
      <w:pPr>
        <w:spacing w:before="0" w:after="0"/>
        <w:ind w:left="0"/>
      </w:pPr>
      <w:r>
        <w:t>La fiecare raport de progres, beneficiarul va trebui să descrie modul în care proiectul respectă legislația în domeniul egalității de şanse, al dezvoltării durabile, precum şi alte teme orizontale aplicabile.</w:t>
      </w:r>
    </w:p>
    <w:p w14:paraId="0BF8945B" w14:textId="77777777" w:rsidR="00A657B7" w:rsidRDefault="00A657B7">
      <w:pPr>
        <w:spacing w:before="0" w:after="0"/>
        <w:ind w:left="0"/>
      </w:pPr>
    </w:p>
    <w:p w14:paraId="5A601CA2" w14:textId="77777777" w:rsidR="00A657B7" w:rsidRDefault="00245051">
      <w:pPr>
        <w:spacing w:before="0" w:after="0"/>
        <w:ind w:left="0"/>
      </w:pPr>
      <w:r>
        <w:t>AMPTJ/OI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343747D2" w14:textId="77777777" w:rsidR="00A657B7" w:rsidRDefault="00245051">
      <w:pPr>
        <w:spacing w:before="0" w:after="0"/>
        <w:ind w:left="0"/>
      </w:pPr>
      <w:r>
        <w:t xml:space="preserve"> </w:t>
      </w:r>
    </w:p>
    <w:p w14:paraId="47CB1C61" w14:textId="77777777" w:rsidR="00A657B7" w:rsidRDefault="00245051">
      <w:pPr>
        <w:spacing w:before="0" w:after="0"/>
        <w:ind w:left="0"/>
      </w:pPr>
      <w:r>
        <w:t>AMPTJ şi/sau alte structuri care reprezintă MIPE, cu atribuții de control / verificare / audit a finanțărilor nerambursabile din fondurile structurale pot efectua misiuni de control pe perioada de implementare a proiectului, cât şi pe întreaga durata a contractului de finanțare.</w:t>
      </w:r>
    </w:p>
    <w:p w14:paraId="560C8DF4" w14:textId="77777777" w:rsidR="00A657B7" w:rsidRDefault="00245051">
      <w:pPr>
        <w:spacing w:before="0" w:after="0"/>
        <w:ind w:left="0"/>
        <w:rPr>
          <w:color w:val="FF0000"/>
        </w:rPr>
      </w:pPr>
      <w:r>
        <w:rPr>
          <w:color w:val="FF0000"/>
        </w:rPr>
        <w:t xml:space="preserve"> </w:t>
      </w:r>
    </w:p>
    <w:p w14:paraId="3AAEA5E1" w14:textId="77777777" w:rsidR="00A657B7" w:rsidRDefault="00245051">
      <w:pPr>
        <w:spacing w:before="0" w:after="0"/>
        <w:ind w:left="0"/>
      </w:pPr>
      <w:r>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w:t>
      </w:r>
      <w:r>
        <w:lastRenderedPageBreak/>
        <w:t>indicatori de etapă, AMPTJ va stabili, împreună cu beneficiarul un plan de acțiuni pentru atingerea acestora și va monitoriza aplicarea respectivului plan.</w:t>
      </w:r>
    </w:p>
    <w:p w14:paraId="591E7337" w14:textId="77777777" w:rsidR="00A657B7" w:rsidRDefault="00A657B7">
      <w:pPr>
        <w:spacing w:before="0" w:after="0"/>
        <w:ind w:left="0"/>
      </w:pPr>
    </w:p>
    <w:p w14:paraId="0036F3F4" w14:textId="77777777" w:rsidR="00A657B7" w:rsidRDefault="00245051">
      <w:pPr>
        <w:spacing w:before="0" w:after="0"/>
        <w:ind w:left="0"/>
      </w:pPr>
      <w:r>
        <w:t xml:space="preserve"> </w:t>
      </w:r>
      <w:r>
        <w:rPr>
          <w:iCs/>
        </w:rPr>
        <w:t xml:space="preserve">AM/OI poate să aplice măsurile corective prevăzute in contractul de finantare, pentru cheltuielie aferente perioadei de raportare, solicitate la rambursare, in cazul nerespectării repetate a termenului de depunere a raportului, care conduce la aparitia de decalaje intre progresul fizic la nivelul tintelor asumate și stadiul din rapoartele de progres, și pe care are obligația de a le prevedea in contractul/decizia de finantare. Neindeplinirea unui indicator de etapă nu are implicatiile unei nereguli sau ale </w:t>
      </w:r>
      <w:r>
        <w:rPr>
          <w:iCs/>
        </w:rPr>
        <w:t xml:space="preserve">unei fraude, așa cum sunt acestea definite la art. 2 a/in. /1) lit. a} și b} din Ordonanta de urgentă a Guvernului nr. 66/2011, aprobată cu modificări și completări prin legea nr.142/2012, cu modificările </w:t>
      </w:r>
      <w:r>
        <w:t>ș</w:t>
      </w:r>
      <w:r>
        <w:t>i completările ulterioare.</w:t>
      </w:r>
    </w:p>
    <w:p w14:paraId="57398B7D" w14:textId="77777777" w:rsidR="00A657B7" w:rsidRDefault="00245051">
      <w:pPr>
        <w:pStyle w:val="Heading2"/>
      </w:pPr>
      <w:bookmarkStart w:id="229" w:name="_Toc143499351"/>
      <w:bookmarkStart w:id="230" w:name="_Toc213405612"/>
      <w:r>
        <w:t>11.2 Vizitele de monitorizare</w:t>
      </w:r>
      <w:bookmarkEnd w:id="229"/>
      <w:bookmarkEnd w:id="230"/>
    </w:p>
    <w:p w14:paraId="55A92EED" w14:textId="77777777" w:rsidR="00A657B7" w:rsidRDefault="00245051">
      <w:pPr>
        <w:ind w:left="0"/>
      </w:pPr>
      <w: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567A0D44" w14:textId="77777777" w:rsidR="00A657B7" w:rsidRDefault="00245051">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235BDB5F" w14:textId="77777777" w:rsidR="00A657B7" w:rsidRDefault="00245051">
      <w:pPr>
        <w:ind w:left="0"/>
      </w:pPr>
      <w:r>
        <w:t>Raportul de vizită se elaborează de AM/OIPTJ, după caz, prin sistemul informatic MySMIS2021/SMIS2021+, în conformitate cu prevederile procedurilor operaționale și se generează în termen de 10 zile lucrătoare de la data vizitei efectuate la fața locului. În cazul în care nu este disponibilă funcția în MYSMIS, raportul se elaborează olograf, urmând a se încarca ulterior în MySMIS.</w:t>
      </w:r>
    </w:p>
    <w:p w14:paraId="15FB940C" w14:textId="77777777" w:rsidR="00A657B7" w:rsidRDefault="00A657B7">
      <w:pPr>
        <w:spacing w:before="0" w:after="0"/>
        <w:ind w:left="0"/>
        <w:rPr>
          <w:color w:val="FF0000"/>
        </w:rPr>
      </w:pPr>
    </w:p>
    <w:p w14:paraId="6F6B3D3D" w14:textId="77777777" w:rsidR="00A657B7" w:rsidRDefault="00245051">
      <w:pPr>
        <w:pStyle w:val="Heading2"/>
      </w:pPr>
      <w:bookmarkStart w:id="231" w:name="_Toc143499352"/>
      <w:bookmarkStart w:id="232" w:name="_Toc213405613"/>
      <w:r>
        <w:t>11.3 Mecanismul specific indicatorilor de etapă. Planul de monitorizare</w:t>
      </w:r>
      <w:bookmarkEnd w:id="231"/>
      <w:bookmarkEnd w:id="232"/>
    </w:p>
    <w:p w14:paraId="001945CD" w14:textId="77777777" w:rsidR="00A657B7" w:rsidRDefault="00A657B7">
      <w:pPr>
        <w:spacing w:before="0" w:after="0"/>
        <w:ind w:left="0"/>
      </w:pPr>
    </w:p>
    <w:p w14:paraId="649767AB" w14:textId="77777777" w:rsidR="00A657B7" w:rsidRDefault="00245051">
      <w:pPr>
        <w:spacing w:before="0" w:after="0"/>
        <w:ind w:left="0"/>
      </w:pPr>
      <w:r>
        <w:t xml:space="preserve">AMPTJ/OI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1F70ECAE" w14:textId="77777777" w:rsidR="00A657B7" w:rsidRDefault="00A657B7">
      <w:pPr>
        <w:spacing w:before="0" w:after="0"/>
        <w:ind w:left="0"/>
      </w:pPr>
    </w:p>
    <w:p w14:paraId="4A34A35B" w14:textId="77777777" w:rsidR="00A657B7" w:rsidRDefault="00245051">
      <w:pPr>
        <w:spacing w:before="0" w:after="0"/>
        <w:ind w:left="0"/>
      </w:pPr>
      <w:r>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606BB339" w14:textId="77777777" w:rsidR="00A657B7" w:rsidRDefault="00A657B7">
      <w:pPr>
        <w:spacing w:before="0" w:after="0"/>
        <w:ind w:left="0"/>
      </w:pPr>
    </w:p>
    <w:p w14:paraId="1EC77165" w14:textId="77777777" w:rsidR="00A657B7" w:rsidRDefault="00245051">
      <w:pPr>
        <w:spacing w:before="0" w:after="0"/>
        <w:ind w:left="0"/>
      </w:pPr>
      <w:r>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6455E171" w14:textId="77777777" w:rsidR="00A657B7" w:rsidRDefault="00A657B7">
      <w:pPr>
        <w:spacing w:before="0" w:after="0"/>
        <w:ind w:left="0"/>
      </w:pPr>
    </w:p>
    <w:p w14:paraId="4DB69D44" w14:textId="77777777" w:rsidR="00A657B7" w:rsidRDefault="00245051">
      <w:pPr>
        <w:spacing w:before="0" w:after="0"/>
        <w:ind w:left="0"/>
      </w:pPr>
      <w:r>
        <w:t>În situația nerealizării indicatorilor de etapă, autoritatea de management/organismul intermediar, după caz, sprijină beneficiarul pentru identificarea și stabilirea de posibile măsuri de remediere și urmărește atingerea indicatorilor de etapă.</w:t>
      </w:r>
    </w:p>
    <w:p w14:paraId="71BC2526" w14:textId="77777777" w:rsidR="00A657B7" w:rsidRDefault="00A657B7">
      <w:pPr>
        <w:spacing w:before="0" w:after="0"/>
        <w:ind w:left="0"/>
        <w:rPr>
          <w:color w:val="FF0000"/>
        </w:rPr>
      </w:pPr>
    </w:p>
    <w:p w14:paraId="59EA0EC6" w14:textId="77777777" w:rsidR="00A657B7" w:rsidRDefault="00245051">
      <w:pPr>
        <w:spacing w:before="0" w:after="0"/>
        <w:ind w:left="0"/>
      </w:pPr>
      <w:r>
        <w:t>Printre acțiunile și măsurile consolidate de monitorizare se numără:</w:t>
      </w:r>
    </w:p>
    <w:p w14:paraId="0345B865" w14:textId="77777777" w:rsidR="00A657B7" w:rsidRDefault="00245051">
      <w:pPr>
        <w:pStyle w:val="ListParagraph"/>
        <w:numPr>
          <w:ilvl w:val="4"/>
          <w:numId w:val="12"/>
        </w:numPr>
        <w:spacing w:before="0" w:after="0"/>
        <w:ind w:left="1260" w:hanging="540"/>
      </w:pPr>
      <w: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BFB4D6" w14:textId="77777777" w:rsidR="00A657B7" w:rsidRDefault="00245051">
      <w:pPr>
        <w:pStyle w:val="ListParagraph"/>
        <w:numPr>
          <w:ilvl w:val="4"/>
          <w:numId w:val="12"/>
        </w:numPr>
        <w:spacing w:before="0" w:after="0"/>
        <w:ind w:left="1260" w:hanging="540"/>
      </w:pPr>
      <w:r>
        <w:lastRenderedPageBreak/>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Pr>
          <w:u w:val="single"/>
        </w:rPr>
        <w:t>lit. a)</w:t>
      </w:r>
      <w:r>
        <w:t>;</w:t>
      </w:r>
    </w:p>
    <w:p w14:paraId="69894DC8" w14:textId="77777777" w:rsidR="00A657B7" w:rsidRDefault="00245051">
      <w:pPr>
        <w:pStyle w:val="ListParagraph"/>
        <w:numPr>
          <w:ilvl w:val="4"/>
          <w:numId w:val="12"/>
        </w:numPr>
        <w:spacing w:before="0" w:after="0"/>
        <w:ind w:left="1260" w:hanging="540"/>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79F2E8" w14:textId="77777777" w:rsidR="00A657B7" w:rsidRDefault="00245051">
      <w:pPr>
        <w:pStyle w:val="ListParagraph"/>
        <w:numPr>
          <w:ilvl w:val="4"/>
          <w:numId w:val="12"/>
        </w:numPr>
        <w:spacing w:before="0" w:after="0"/>
        <w:ind w:left="1260" w:hanging="540"/>
      </w:pPr>
      <w:r>
        <w:t>suspendarea implementării proiectului, până la încetarea cauzelor obiective care afectează derularea activităților și atingerea indicatorilor de etapă;</w:t>
      </w:r>
    </w:p>
    <w:p w14:paraId="086894C9" w14:textId="77777777" w:rsidR="00A657B7" w:rsidRDefault="00245051">
      <w:pPr>
        <w:pStyle w:val="ListParagraph"/>
        <w:numPr>
          <w:ilvl w:val="4"/>
          <w:numId w:val="12"/>
        </w:numPr>
        <w:spacing w:before="0" w:after="0"/>
        <w:ind w:left="1260" w:hanging="540"/>
      </w:pPr>
      <w:r>
        <w:t>rezilierea contractului/deciziei de finanțare;</w:t>
      </w:r>
    </w:p>
    <w:p w14:paraId="2F20A914" w14:textId="77777777" w:rsidR="00A657B7" w:rsidRDefault="00245051">
      <w:pPr>
        <w:pStyle w:val="ListParagraph"/>
        <w:numPr>
          <w:ilvl w:val="4"/>
          <w:numId w:val="12"/>
        </w:numPr>
        <w:spacing w:before="0" w:after="0"/>
        <w:ind w:left="1260" w:hanging="540"/>
      </w:pPr>
      <w:r>
        <w:t>alte măsuri specifice prevăzute în contractul de finanțare, cu condiția ca acestea să nu aducă atingere prevederilor naționale și regulamentelor europene aplicabile.</w:t>
      </w:r>
    </w:p>
    <w:p w14:paraId="130337BD" w14:textId="77777777" w:rsidR="00A657B7" w:rsidRDefault="00A657B7">
      <w:pPr>
        <w:spacing w:before="0" w:after="0"/>
        <w:ind w:left="0"/>
      </w:pPr>
    </w:p>
    <w:p w14:paraId="7D7E0E78" w14:textId="77777777" w:rsidR="00A657B7" w:rsidRDefault="00245051">
      <w:pPr>
        <w:spacing w:before="0" w:after="0"/>
        <w:ind w:left="0"/>
      </w:pPr>
      <w: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67FE165D" w14:textId="77777777" w:rsidR="00A657B7" w:rsidRDefault="00A657B7">
      <w:pPr>
        <w:spacing w:before="0" w:after="0"/>
        <w:ind w:left="0"/>
        <w:rPr>
          <w:b/>
          <w:color w:val="FF0000"/>
        </w:rPr>
      </w:pPr>
    </w:p>
    <w:p w14:paraId="19ACE8E5" w14:textId="77777777" w:rsidR="00A657B7" w:rsidRDefault="00245051">
      <w:pPr>
        <w:spacing w:before="0" w:after="0"/>
        <w:ind w:left="0"/>
        <w:rPr>
          <w:b/>
          <w:bCs/>
        </w:rPr>
      </w:pPr>
      <w:r>
        <w:t xml:space="preserve">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 Vă rugăm să aveți în vedere și </w:t>
      </w:r>
      <w:r>
        <w:rPr>
          <w:b/>
          <w:bCs/>
        </w:rPr>
        <w:t>secțiunea 8.9.3 la prezentul ghid.</w:t>
      </w:r>
    </w:p>
    <w:p w14:paraId="196F5D61" w14:textId="77777777" w:rsidR="00A657B7" w:rsidRDefault="00A657B7">
      <w:pPr>
        <w:rPr>
          <w:color w:val="FF0000"/>
        </w:rPr>
      </w:pPr>
    </w:p>
    <w:p w14:paraId="605E10F4" w14:textId="77777777" w:rsidR="00A657B7" w:rsidRDefault="00245051">
      <w:pPr>
        <w:pStyle w:val="Heading1"/>
      </w:pPr>
      <w:bookmarkStart w:id="233" w:name="_Toc143499353"/>
      <w:bookmarkStart w:id="234" w:name="_Toc213405614"/>
      <w:r>
        <w:t>12 ASPECTE PRIVIND MANAGEMENTUL FINANCIAR</w:t>
      </w:r>
      <w:bookmarkEnd w:id="233"/>
      <w:bookmarkEnd w:id="234"/>
    </w:p>
    <w:p w14:paraId="13BD3BC2" w14:textId="77777777" w:rsidR="00A657B7" w:rsidRDefault="00245051">
      <w:pPr>
        <w:spacing w:before="0" w:after="0"/>
        <w:ind w:left="0"/>
      </w:pPr>
      <w:r>
        <w:t>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w:t>
      </w:r>
      <w:r>
        <w:t>uropean Plus, Fondul de coeziune şi Fondul pentru o tranziţie justă, în termenele prevăzute în OUG nr. 133/2021, cu modificările și completările ulterioare</w:t>
      </w:r>
    </w:p>
    <w:p w14:paraId="5DAA3028" w14:textId="77777777" w:rsidR="00A657B7" w:rsidRDefault="00A657B7">
      <w:pPr>
        <w:spacing w:before="0" w:after="0"/>
        <w:ind w:left="0"/>
      </w:pPr>
    </w:p>
    <w:p w14:paraId="65064E96" w14:textId="77777777" w:rsidR="00A657B7" w:rsidRDefault="00245051">
      <w:pPr>
        <w:spacing w:before="0" w:after="0"/>
        <w:ind w:left="0"/>
      </w:pPr>
      <w: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3E01CB73" w14:textId="77777777" w:rsidR="00A657B7" w:rsidRDefault="00A657B7">
      <w:pPr>
        <w:spacing w:before="0" w:after="0"/>
        <w:ind w:left="0"/>
      </w:pPr>
    </w:p>
    <w:p w14:paraId="65E6D763" w14:textId="77777777" w:rsidR="00A657B7" w:rsidRDefault="00245051">
      <w:pPr>
        <w:spacing w:before="0" w:after="0"/>
        <w:ind w:left="0"/>
      </w:pPr>
      <w:r>
        <w:t>De asemenea, cheltuielile sunt considerate eligibile numai dacă au fost efectuate cu respectarea Ordinul Ordinul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w:t>
      </w:r>
      <w:r>
        <w:t>,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w:t>
      </w:r>
      <w:r>
        <w:t>rilor publice naționale aferente acestora.</w:t>
      </w:r>
    </w:p>
    <w:p w14:paraId="63E1DE49" w14:textId="77777777" w:rsidR="00A657B7" w:rsidRDefault="00A657B7">
      <w:pPr>
        <w:spacing w:before="0" w:after="0"/>
        <w:ind w:left="0"/>
      </w:pPr>
    </w:p>
    <w:p w14:paraId="6B1970E1" w14:textId="77777777" w:rsidR="00A657B7" w:rsidRDefault="00A657B7">
      <w:pPr>
        <w:spacing w:before="0" w:after="0"/>
        <w:ind w:left="0"/>
      </w:pPr>
    </w:p>
    <w:p w14:paraId="4A0C6A30" w14:textId="77777777" w:rsidR="00A657B7" w:rsidRDefault="00245051">
      <w:pPr>
        <w:spacing w:before="0" w:after="0"/>
        <w:ind w:left="0"/>
      </w:pPr>
      <w:r>
        <w:lastRenderedPageBreak/>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5952966B" w14:textId="77777777" w:rsidR="00A657B7" w:rsidRDefault="00A657B7">
      <w:pPr>
        <w:spacing w:before="0" w:after="0"/>
        <w:ind w:left="0"/>
      </w:pPr>
    </w:p>
    <w:p w14:paraId="50615EB0" w14:textId="77777777" w:rsidR="00A657B7" w:rsidRDefault="00245051">
      <w:pPr>
        <w:spacing w:before="0" w:after="0"/>
        <w:ind w:left="0"/>
      </w:pPr>
      <w:r>
        <w:t>În implementarea operațiunilor Beneficiarul trebuie să dețină fie un sistem contabil separat, fie o contabilitate  analitică pentru toate tranzacțiile aferente proiectului.</w:t>
      </w:r>
    </w:p>
    <w:p w14:paraId="427A5B48" w14:textId="77777777" w:rsidR="00A657B7" w:rsidRDefault="00A657B7">
      <w:pPr>
        <w:rPr>
          <w:color w:val="FF0000"/>
        </w:rPr>
      </w:pPr>
    </w:p>
    <w:p w14:paraId="6B0CAEB9" w14:textId="77777777" w:rsidR="00A657B7" w:rsidRDefault="00245051">
      <w:pPr>
        <w:pStyle w:val="Heading2"/>
      </w:pPr>
      <w:bookmarkStart w:id="235" w:name="_Toc143499354"/>
      <w:bookmarkStart w:id="236" w:name="_Toc213405615"/>
      <w:r>
        <w:t>12.1 Mecanismul cererilor de prefinanțare</w:t>
      </w:r>
      <w:bookmarkEnd w:id="235"/>
      <w:bookmarkEnd w:id="236"/>
      <w:r>
        <w:t xml:space="preserve"> </w:t>
      </w:r>
    </w:p>
    <w:p w14:paraId="6097D9AE" w14:textId="77777777" w:rsidR="00A657B7" w:rsidRDefault="00A657B7"/>
    <w:p w14:paraId="3C86C665" w14:textId="77777777" w:rsidR="00A657B7" w:rsidRDefault="00245051">
      <w:pPr>
        <w:spacing w:before="0" w:after="0"/>
        <w:ind w:left="0"/>
      </w:pPr>
      <w:r>
        <w:t>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1975F6E5" w14:textId="77777777" w:rsidR="00A657B7" w:rsidRDefault="00245051">
      <w:pPr>
        <w:spacing w:before="0" w:after="0"/>
        <w:ind w:left="0"/>
      </w:pPr>
      <w:r>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5D8D7FBD" w14:textId="77777777" w:rsidR="00A657B7" w:rsidRDefault="00A657B7">
      <w:pPr>
        <w:spacing w:before="0" w:after="0"/>
        <w:ind w:left="0"/>
      </w:pPr>
    </w:p>
    <w:p w14:paraId="186A599E" w14:textId="77777777" w:rsidR="00A657B7" w:rsidRDefault="00245051">
      <w:pPr>
        <w:spacing w:before="0" w:after="0"/>
        <w:ind w:left="0"/>
      </w:pPr>
      <w:r>
        <w:t>Prefinanțarea se poate solicita doar în perioada de implementare a contractului de finanțare.</w:t>
      </w:r>
    </w:p>
    <w:p w14:paraId="42FCC1B7" w14:textId="77777777" w:rsidR="00A657B7" w:rsidRDefault="00A657B7">
      <w:pPr>
        <w:spacing w:before="0" w:after="0"/>
        <w:ind w:left="0"/>
      </w:pPr>
    </w:p>
    <w:p w14:paraId="75A04F9C" w14:textId="77777777" w:rsidR="00A657B7" w:rsidRDefault="00245051">
      <w:pPr>
        <w:spacing w:before="0" w:after="0"/>
        <w:ind w:left="0"/>
      </w:pPr>
      <w:r>
        <w:t>În conformitate cu prevederile O.U.G. nr.133/ 2021 se acordă prefinanţare în tranşe de maximum 10% din valoarea eligibilă a contractului de finanţare, fără depăşirea valorii totale eligibile a acestuia, beneficiarilor.</w:t>
      </w:r>
    </w:p>
    <w:p w14:paraId="221B147A" w14:textId="77777777" w:rsidR="00A657B7" w:rsidRDefault="00245051">
      <w:pPr>
        <w:spacing w:before="0" w:after="0"/>
        <w:ind w:left="0"/>
      </w:pPr>
      <w:r>
        <w:t>Cu excepţia primei tranşe de prefinanţare acordate, următoarele tranşe de prefinanţare se acordă cu deducerea sumelor nejustificate din tranşa anterior acordată.</w:t>
      </w:r>
    </w:p>
    <w:p w14:paraId="03ED4917" w14:textId="77777777" w:rsidR="00A657B7" w:rsidRDefault="00A657B7">
      <w:pPr>
        <w:spacing w:before="0" w:after="0"/>
        <w:ind w:left="0"/>
      </w:pPr>
    </w:p>
    <w:p w14:paraId="4119B6BF" w14:textId="77777777" w:rsidR="00A657B7" w:rsidRDefault="00245051">
      <w:pPr>
        <w:spacing w:before="0" w:after="0"/>
        <w:ind w:left="0"/>
      </w:pPr>
      <w:r>
        <w:t>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depăși durata contractului de finanțare.</w:t>
      </w:r>
    </w:p>
    <w:p w14:paraId="12848A7E" w14:textId="77777777" w:rsidR="00A657B7" w:rsidRDefault="00245051">
      <w:pPr>
        <w:pStyle w:val="Heading2"/>
      </w:pPr>
      <w:bookmarkStart w:id="237" w:name="_Toc143499355"/>
      <w:bookmarkStart w:id="238" w:name="_Toc213405616"/>
      <w:r>
        <w:t>12.2 Mecanismul cererilor de plată</w:t>
      </w:r>
      <w:bookmarkEnd w:id="237"/>
      <w:bookmarkEnd w:id="238"/>
      <w:r>
        <w:t xml:space="preserve"> </w:t>
      </w:r>
    </w:p>
    <w:p w14:paraId="01C1B3BB" w14:textId="77777777" w:rsidR="00A657B7" w:rsidRDefault="00A657B7">
      <w:pPr>
        <w:spacing w:before="0" w:after="0"/>
        <w:ind w:left="0"/>
      </w:pPr>
    </w:p>
    <w:p w14:paraId="7F18C9FF" w14:textId="77777777" w:rsidR="00A657B7" w:rsidRDefault="00245051">
      <w:pPr>
        <w:spacing w:before="0" w:after="0"/>
        <w:ind w:left="0"/>
      </w:pPr>
      <w:r>
        <w:t>Beneficiarii pot opta pentru utilizarea mecanismului decontării cererilor de plată, conform OUG nr. 133/2021, cu modificările și completările ulterioare și a normelor metodologice aferente, aprobate prin HG 829/2022.</w:t>
      </w:r>
    </w:p>
    <w:p w14:paraId="750A3D43" w14:textId="77777777" w:rsidR="00A657B7" w:rsidRDefault="00245051">
      <w:pPr>
        <w:spacing w:before="0" w:after="0"/>
        <w:ind w:left="0"/>
        <w:rPr>
          <w:sz w:val="23"/>
          <w:szCs w:val="23"/>
        </w:rPr>
      </w:pPr>
      <w: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r>
        <w:rPr>
          <w:sz w:val="23"/>
          <w:szCs w:val="23"/>
        </w:rPr>
        <w:t xml:space="preserve"> </w:t>
      </w:r>
    </w:p>
    <w:p w14:paraId="24DD2D66" w14:textId="77777777" w:rsidR="00A657B7" w:rsidRDefault="00A657B7">
      <w:pPr>
        <w:spacing w:before="0" w:after="0"/>
        <w:ind w:left="0"/>
        <w:rPr>
          <w:sz w:val="23"/>
          <w:szCs w:val="23"/>
        </w:rPr>
      </w:pPr>
    </w:p>
    <w:p w14:paraId="542377D9" w14:textId="77777777" w:rsidR="00A657B7" w:rsidRDefault="00245051">
      <w:pPr>
        <w:spacing w:before="0" w:after="0"/>
        <w:ind w:left="0"/>
      </w:pPr>
      <w: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FB998D8" w14:textId="77777777" w:rsidR="00A657B7" w:rsidRDefault="00A657B7">
      <w:pPr>
        <w:spacing w:before="0" w:after="0"/>
        <w:ind w:left="0"/>
      </w:pPr>
    </w:p>
    <w:p w14:paraId="3E298E94" w14:textId="77777777" w:rsidR="00A657B7" w:rsidRDefault="00245051">
      <w:pPr>
        <w:spacing w:before="0" w:after="0"/>
        <w:ind w:left="0"/>
      </w:pPr>
      <w:r>
        <w:t>Pentru cererile de plată depuse, solicitantul  are obligația transmiterii de cereri de rambursare aferente cererilor de plată prin care se justifică utilizarea sumelor plătite.</w:t>
      </w:r>
    </w:p>
    <w:p w14:paraId="5B4FA432" w14:textId="77777777" w:rsidR="00A657B7" w:rsidRDefault="00A657B7">
      <w:pPr>
        <w:spacing w:before="0" w:after="0"/>
        <w:ind w:left="0"/>
      </w:pPr>
    </w:p>
    <w:p w14:paraId="195B099A" w14:textId="77777777" w:rsidR="00A657B7" w:rsidRDefault="00245051">
      <w:pPr>
        <w:spacing w:before="0" w:after="0"/>
        <w:ind w:left="0"/>
      </w:pPr>
      <w:r>
        <w:t>Beneficiarii au obligația de a achita integral contribuția proprie aferentă cheltuielilor eligibile incluse în documentele anexate cererii de plată cel mai târziu până la data depunerii cererii de rambursare aferente cererii de plată.</w:t>
      </w:r>
    </w:p>
    <w:p w14:paraId="548C20F3" w14:textId="77777777" w:rsidR="00A657B7" w:rsidRDefault="00A657B7">
      <w:pPr>
        <w:spacing w:before="0" w:after="0"/>
        <w:ind w:left="0"/>
      </w:pPr>
    </w:p>
    <w:p w14:paraId="1ED8F979" w14:textId="77777777" w:rsidR="00A657B7" w:rsidRDefault="00245051">
      <w:pPr>
        <w:spacing w:before="0" w:after="0"/>
        <w:ind w:left="0"/>
      </w:pPr>
      <w:r>
        <w:lastRenderedPageBreak/>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04E75FB7" w14:textId="77777777" w:rsidR="00A657B7" w:rsidRDefault="00A657B7">
      <w:pPr>
        <w:spacing w:before="0" w:after="0"/>
        <w:ind w:left="0"/>
      </w:pPr>
    </w:p>
    <w:p w14:paraId="3B4FB145" w14:textId="77777777" w:rsidR="00A657B7" w:rsidRDefault="00245051">
      <w:pPr>
        <w:spacing w:before="0" w:after="0"/>
        <w:ind w:left="0"/>
      </w:pPr>
      <w: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7B5069F9" w14:textId="77777777" w:rsidR="00A657B7" w:rsidRDefault="00A657B7">
      <w:pPr>
        <w:spacing w:before="0" w:after="0"/>
        <w:ind w:left="0"/>
      </w:pPr>
    </w:p>
    <w:p w14:paraId="56FE615A" w14:textId="77777777" w:rsidR="00A657B7" w:rsidRDefault="00245051">
      <w:pPr>
        <w:spacing w:before="0" w:after="0"/>
        <w:ind w:left="0"/>
      </w:pPr>
      <w:r>
        <w:t>La depunerea cererii de plată, pentru a evita dubla finanțare, beneficiarii/ partenerii de finanțare din Fondul pentru o tranziție justă 2021-2027 au obligația depunerii la AMPTJ/OI PTJ, după caz, a anexelor TVA în conformitate cu prevederile Ordinului ministrului investițiilor și proiectelor europene nr. 4013/23.10.2023 privind aprobarea instrucțiunilor de aplicare a prevederilor art. 9 a/in. (1) și (2) din Hotărârea Guvernului nr. 873/2022 pentru stabilirea cadrului legal privind eligibilitatea cheltuieli</w:t>
      </w:r>
      <w:r>
        <w:t>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aplicare a prevederilor art. 9 alin. (1) și (2) din Hotărârea Guvernului nr. 873/2022 pentru stabilirea cadrului legal privind eligibilitatea cheltuielilor efectuate de beneficiari în cadrul ope</w:t>
      </w:r>
      <w:r>
        <w:t>rațiunilor finanțate în perioada de programare 2021-2027 prin Fondul European de dezvoltare regionala, Fondul social european Plus, Fondul de coeziune și Fondul pentru o tranziție justa.</w:t>
      </w:r>
    </w:p>
    <w:p w14:paraId="77E9A91C" w14:textId="77777777" w:rsidR="00A657B7" w:rsidRDefault="00A657B7">
      <w:pPr>
        <w:spacing w:before="0" w:after="0"/>
        <w:ind w:left="0"/>
      </w:pPr>
    </w:p>
    <w:p w14:paraId="5A099B32" w14:textId="77777777" w:rsidR="00A657B7" w:rsidRDefault="00245051">
      <w:pPr>
        <w:pStyle w:val="Heading2"/>
      </w:pPr>
      <w:bookmarkStart w:id="239" w:name="_Toc143499356"/>
      <w:bookmarkStart w:id="240" w:name="_Toc213405617"/>
      <w:r>
        <w:t>12.3 Mecanismul cererilor de rambursare</w:t>
      </w:r>
      <w:bookmarkEnd w:id="239"/>
      <w:bookmarkEnd w:id="240"/>
    </w:p>
    <w:p w14:paraId="3D93A91A" w14:textId="77777777" w:rsidR="00A657B7" w:rsidRDefault="00245051">
      <w:pPr>
        <w:spacing w:before="0" w:after="0"/>
        <w:ind w:left="0"/>
      </w:pPr>
      <w:r>
        <w:t>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completările si modificările ulterioare și a normelor metodologice aferente, aprobate prin HG 829/2022.</w:t>
      </w:r>
    </w:p>
    <w:p w14:paraId="64CB1F69" w14:textId="77777777" w:rsidR="00A657B7" w:rsidRDefault="00A657B7">
      <w:pPr>
        <w:spacing w:before="0" w:after="0"/>
        <w:ind w:left="0"/>
      </w:pPr>
    </w:p>
    <w:p w14:paraId="5F80FE99" w14:textId="77777777" w:rsidR="00A657B7" w:rsidRDefault="00245051">
      <w:pPr>
        <w:spacing w:before="0" w:after="0"/>
        <w:ind w:left="0"/>
      </w:pPr>
      <w:r>
        <w:t>Beneficiarul finanțării răspunde de legalitatea, realitatea și regularitatea cheltuielilor, în caz contrar sunt aplicabile prevederile OUG 66/2011 cu modificările și completările ulterioare pentru acele categorii de cheltuieli care nu respectă dispozițiile legale privind legalitatea, realitatea și regularitatea.</w:t>
      </w:r>
    </w:p>
    <w:p w14:paraId="72B40C4B" w14:textId="77777777" w:rsidR="00A657B7" w:rsidRDefault="00245051">
      <w:pPr>
        <w:spacing w:before="0" w:after="0"/>
        <w:ind w:left="0"/>
      </w:pPr>
      <w: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00489BDA" w14:textId="77777777" w:rsidR="00A657B7" w:rsidRDefault="00A657B7">
      <w:pPr>
        <w:spacing w:before="0" w:after="0"/>
        <w:ind w:left="0"/>
      </w:pPr>
    </w:p>
    <w:p w14:paraId="7C8F9E62" w14:textId="77777777" w:rsidR="00A657B7" w:rsidRDefault="00245051">
      <w:pPr>
        <w:spacing w:before="0" w:after="0"/>
        <w:ind w:left="0"/>
      </w:pPr>
      <w:r>
        <w:t>Rambursarea către beneficiari se realizează în condițiile și pe baza documentelor prevăzute prin contractele de finanțare, cu respectarea prevederilor legislației privind eligibilitatea cheltuielilor.</w:t>
      </w:r>
    </w:p>
    <w:p w14:paraId="2CBC0B8B" w14:textId="77777777" w:rsidR="00A657B7" w:rsidRDefault="00245051">
      <w:pPr>
        <w:spacing w:before="0" w:after="0"/>
        <w:ind w:left="0"/>
      </w:pPr>
      <w:r>
        <w:t xml:space="preserve"> </w:t>
      </w:r>
    </w:p>
    <w:p w14:paraId="4513919D" w14:textId="77777777" w:rsidR="00A657B7" w:rsidRDefault="00245051">
      <w:pPr>
        <w:spacing w:before="0" w:after="0"/>
        <w:ind w:left="0"/>
      </w:pPr>
      <w:r>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1AC5FDC4" w14:textId="77777777" w:rsidR="00A657B7" w:rsidRDefault="00A657B7">
      <w:pPr>
        <w:spacing w:before="0" w:after="0"/>
        <w:ind w:left="0"/>
      </w:pPr>
    </w:p>
    <w:p w14:paraId="38A517DA" w14:textId="77777777" w:rsidR="00A657B7" w:rsidRDefault="00245051">
      <w:pPr>
        <w:spacing w:before="0" w:after="0"/>
        <w:ind w:left="0"/>
      </w:pPr>
      <w:r>
        <w:t xml:space="preserve"> Din valoarea autorizată a cererilor de rambursare se deduc sumele virate pe baza cererilor de plată.</w:t>
      </w:r>
    </w:p>
    <w:p w14:paraId="3090E342" w14:textId="77777777" w:rsidR="00A657B7" w:rsidRDefault="00245051">
      <w:pPr>
        <w:spacing w:before="0" w:after="0"/>
        <w:ind w:left="0"/>
      </w:pPr>
      <w: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(art. 19^alin 1-2, OUG nr. 133/2021 actualizată).</w:t>
      </w:r>
    </w:p>
    <w:p w14:paraId="416B2561" w14:textId="77777777" w:rsidR="00A657B7" w:rsidRDefault="00A657B7">
      <w:pPr>
        <w:spacing w:before="0" w:after="0"/>
        <w:ind w:left="0"/>
      </w:pPr>
    </w:p>
    <w:p w14:paraId="4685E23D" w14:textId="77777777" w:rsidR="00A657B7" w:rsidRDefault="00245051">
      <w:pPr>
        <w:spacing w:before="0" w:after="0"/>
        <w:ind w:left="0"/>
      </w:pPr>
      <w:r>
        <w:t xml:space="preserve">La depunerea cererii de plata, pentru a evita dubla finanțare, beneficiarii/ partenerii de finanțare din Fondul pentru o tranziție justa 2021-2027 au obligația depunerii la AMPTJ/OI PTJ, după caz, a anexelor TVA în conformitate cu prevederile Ordinului ministrului investițiilor și proiectelor europene nr. 4013/23.10.2023 </w:t>
      </w:r>
      <w:r>
        <w:lastRenderedPageBreak/>
        <w:t>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Ordinul ministrului finanțelor nr. 5316/27.11.2023 pentru aprobarea instrucțiunilor de aplic</w:t>
      </w:r>
      <w:r>
        <w:t>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justă.</w:t>
      </w:r>
    </w:p>
    <w:p w14:paraId="19451C7F" w14:textId="77777777" w:rsidR="00A657B7" w:rsidRDefault="00A657B7">
      <w:pPr>
        <w:spacing w:before="0" w:after="0"/>
        <w:ind w:left="0"/>
      </w:pPr>
    </w:p>
    <w:p w14:paraId="0B6301EA" w14:textId="77777777" w:rsidR="00A657B7" w:rsidRDefault="00245051">
      <w:pPr>
        <w:pStyle w:val="Heading2"/>
      </w:pPr>
      <w:bookmarkStart w:id="241" w:name="_Toc143499357"/>
      <w:bookmarkStart w:id="242" w:name="_Toc213405618"/>
      <w:r>
        <w:t>12.4 Graficul cererilor de prefinanțare/plată/rambursare</w:t>
      </w:r>
      <w:bookmarkEnd w:id="241"/>
      <w:bookmarkEnd w:id="242"/>
    </w:p>
    <w:p w14:paraId="704D3650" w14:textId="77777777" w:rsidR="00A657B7" w:rsidRDefault="00245051">
      <w:pPr>
        <w:spacing w:line="360" w:lineRule="auto"/>
        <w:ind w:left="0"/>
      </w:pPr>
      <w:r>
        <w:t>Cererile de prefinanțare/plată/rambursare aferente proiectelor finanțate se vor depune conform graficului cererilor de prefinanțare/plată/ rambursare.</w:t>
      </w:r>
    </w:p>
    <w:p w14:paraId="5D297FC4" w14:textId="77777777" w:rsidR="00A657B7" w:rsidRDefault="00245051">
      <w:pPr>
        <w:spacing w:before="0" w:after="0"/>
        <w:ind w:left="0"/>
        <w:rPr>
          <w:shd w:val="clear" w:color="auto" w:fill="D3D3D3"/>
        </w:rPr>
      </w:pPr>
      <w:r>
        <w:t>Graficul menționat este un document obligatoriu solicitat în etapa de contractare care conține calendarul estimat pentru transmiterea cererilor respective și corelarea cu valoarea nerambursabilă solicitată în cadrul proiectului.</w:t>
      </w:r>
    </w:p>
    <w:p w14:paraId="1C1760D7" w14:textId="77777777" w:rsidR="00A657B7" w:rsidRDefault="00245051">
      <w:pPr>
        <w:spacing w:before="240" w:after="0" w:line="276" w:lineRule="auto"/>
        <w:ind w:left="0"/>
      </w:pPr>
      <w:r>
        <w:t>Beneficiarul are obligația de a respecta graficul prefinanțare/plată/rambursare, precum și de actualizare a acestuia în funcție de sumele decontate pentru un management financiar eficient în cadrul contractului de finanțare.</w:t>
      </w:r>
    </w:p>
    <w:p w14:paraId="47EADB64" w14:textId="77777777" w:rsidR="00A657B7" w:rsidRDefault="00245051">
      <w:pPr>
        <w:pStyle w:val="Heading2"/>
      </w:pPr>
      <w:bookmarkStart w:id="243" w:name="_Toc143499358"/>
      <w:bookmarkStart w:id="244" w:name="_Toc213405619"/>
      <w:r>
        <w:t>12.5 Vizitele la fața locului</w:t>
      </w:r>
      <w:bookmarkEnd w:id="243"/>
      <w:bookmarkEnd w:id="244"/>
    </w:p>
    <w:p w14:paraId="17EF6984" w14:textId="77777777" w:rsidR="00A657B7" w:rsidRDefault="00A657B7">
      <w:pPr>
        <w:ind w:left="0"/>
      </w:pPr>
    </w:p>
    <w:p w14:paraId="56AFACCA" w14:textId="77777777" w:rsidR="00A657B7" w:rsidRDefault="00245051">
      <w:pPr>
        <w:ind w:left="0"/>
        <w:rPr>
          <w:b/>
          <w:bCs/>
        </w:rPr>
      </w:pPr>
      <w:r>
        <w:rPr>
          <w:b/>
          <w:bCs/>
        </w:rPr>
        <w:t>Vizite la fața locului în etapa de contractare:</w:t>
      </w:r>
    </w:p>
    <w:p w14:paraId="2C84B84C" w14:textId="77777777" w:rsidR="00A657B7" w:rsidRDefault="00245051">
      <w:pPr>
        <w:spacing w:before="0" w:after="0"/>
        <w:ind w:left="0"/>
      </w:pPr>
      <w:r>
        <w:t xml:space="preserve"> În cadrul apelurilor lansate prin prezentul ghid, se realizează vizite la fața locului în etapa de contractare, conform procedurii specifice. Vizitele la fața locului vor fi realizate de OIPTJ în termenul prevăzut pentru derularea etapei de contractare şi va avea drept scop stabilirea concordanţei dintre documentele analizate şi situația din teren.</w:t>
      </w:r>
    </w:p>
    <w:p w14:paraId="7A9EF932" w14:textId="77777777" w:rsidR="00A657B7" w:rsidRDefault="00A657B7">
      <w:pPr>
        <w:spacing w:before="0" w:after="0"/>
        <w:ind w:left="0"/>
      </w:pPr>
    </w:p>
    <w:p w14:paraId="3FCAFF35" w14:textId="77777777" w:rsidR="00A657B7" w:rsidRDefault="00245051">
      <w:pPr>
        <w:spacing w:before="0" w:after="0"/>
        <w:ind w:left="0"/>
      </w:pPr>
      <w:r>
        <w:t xml:space="preserve">Raportul de vizită se elaborează OIPTJ în conformitate cu prevederile procedurilor operaționale și va fi semnat de către reprezentanții OIPTJ prezenți în teren și de către reprezentantul legal al solicitantului/persoana împuternicită.   </w:t>
      </w:r>
    </w:p>
    <w:p w14:paraId="69AD5A76" w14:textId="77777777" w:rsidR="00A657B7" w:rsidRDefault="00A657B7">
      <w:pPr>
        <w:spacing w:before="0" w:after="0"/>
        <w:ind w:left="0"/>
      </w:pPr>
    </w:p>
    <w:p w14:paraId="3A744246" w14:textId="77777777" w:rsidR="00A657B7" w:rsidRDefault="00245051">
      <w:pPr>
        <w:spacing w:before="0" w:after="0"/>
        <w:ind w:left="0"/>
      </w:pPr>
      <w: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191F565E" w14:textId="77777777" w:rsidR="00A657B7" w:rsidRDefault="00A657B7">
      <w:pPr>
        <w:spacing w:before="0" w:after="0"/>
        <w:ind w:left="0"/>
        <w:rPr>
          <w:color w:val="FF0000"/>
        </w:rPr>
      </w:pPr>
    </w:p>
    <w:p w14:paraId="62410CF1" w14:textId="77777777" w:rsidR="00A657B7" w:rsidRDefault="00245051">
      <w:pPr>
        <w:spacing w:before="0" w:after="0"/>
        <w:ind w:left="0"/>
      </w:pPr>
      <w: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unității pentru a participa la vizita la faţa locului. În cazuri justificate, solicitantul poate solicita amânarea datei vizitei la faţa locului de maxim 2 ori, până la expirarea termenului de 180 de zile pentru c</w:t>
      </w:r>
      <w:r>
        <w:t>ontractarea proiectului, în caz contrar proiectul este respins din cadrul procesului de contractare. Termenul respectiv de 180 de zile poate fi prelungit în conformitate cu prevederile a/in. (17) al art. 11 din Ordonanța de urgenta a Guvernului nr. 23/3023."</w:t>
      </w:r>
    </w:p>
    <w:p w14:paraId="749A6D9D" w14:textId="77777777" w:rsidR="00A657B7" w:rsidRDefault="00A657B7">
      <w:pPr>
        <w:spacing w:before="0" w:after="0"/>
        <w:ind w:left="0"/>
        <w:rPr>
          <w:color w:val="FF0000"/>
        </w:rPr>
      </w:pPr>
    </w:p>
    <w:p w14:paraId="636C07BC" w14:textId="77777777" w:rsidR="00A657B7" w:rsidRDefault="00245051">
      <w:pPr>
        <w:spacing w:before="0" w:after="0"/>
        <w:ind w:left="0"/>
      </w:pPr>
      <w:r>
        <w:t xml:space="preserve">Ca urmare a vizitei în teren, în cazul identificării de neconcordanțe între cele menționate în cererea de finanțare, anexele depuse și cele constatate la vizita pe teren, solicitantul are posibilitatea de remediere a </w:t>
      </w:r>
      <w:r>
        <w:lastRenderedPageBreak/>
        <w:t xml:space="preserve">aspectelor identificate în Raportul de vizită în teren. În cazul în care aspectele sesizate în teren nu sunt de natură a fi soluționate, proiectul se va considera respins. </w:t>
      </w:r>
    </w:p>
    <w:p w14:paraId="4271A01F" w14:textId="77777777" w:rsidR="00A657B7" w:rsidRDefault="00A657B7">
      <w:pPr>
        <w:spacing w:before="0" w:after="0"/>
        <w:ind w:left="0"/>
      </w:pPr>
    </w:p>
    <w:p w14:paraId="1C18A386" w14:textId="77777777" w:rsidR="00A657B7" w:rsidRDefault="00245051">
      <w:pPr>
        <w:spacing w:before="0" w:after="0"/>
        <w:ind w:left="0"/>
      </w:pPr>
      <w:r>
        <w:t>În cadrul etapei de vizită la fața locului nu vor fi preluate documente suplimentare. Dacă este cazul, solicitantul va fi notificat asupra actualizării respectivelor documente în MySMIS2021/SMIS2021 în această etapă.</w:t>
      </w:r>
    </w:p>
    <w:p w14:paraId="7846127C" w14:textId="77777777" w:rsidR="00A657B7" w:rsidRDefault="00245051">
      <w:pPr>
        <w:spacing w:before="240" w:after="240"/>
        <w:ind w:left="0"/>
        <w:rPr>
          <w:b/>
          <w:bCs/>
        </w:rPr>
      </w:pPr>
      <w:r>
        <w:rPr>
          <w:b/>
          <w:bCs/>
        </w:rPr>
        <w:t>Vizitele de monitorizare:</w:t>
      </w:r>
    </w:p>
    <w:p w14:paraId="334011D7" w14:textId="77777777" w:rsidR="00A657B7" w:rsidRDefault="00245051">
      <w:pPr>
        <w:spacing w:before="240" w:after="240"/>
        <w:ind w:left="0"/>
      </w:pPr>
      <w: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w:anchor="p-461845481" w:tooltip="Current Document" w:history="1">
        <w:r w:rsidR="00A657B7">
          <w:t>art. 65</w:t>
        </w:r>
      </w:hyperlink>
      <w:r>
        <w:t xml:space="preserve"> din Regulamentul (UE) 2021/1.060, cu modificările şi completările ulterioare.</w:t>
      </w:r>
    </w:p>
    <w:p w14:paraId="3BF92312" w14:textId="77777777" w:rsidR="00A657B7" w:rsidRDefault="00245051">
      <w:pPr>
        <w:spacing w:before="240" w:after="240"/>
        <w:ind w:left="0"/>
      </w:pPr>
      <w:r>
        <w:t xml:space="preserve">Raportul de vizită se elaborează de AMPTJ/OIPTJ, după caz, prin sistemul informatic MySMIS2021/SMIS2021, în conformitate cu prevederile procedurilor operaționale şi se generează în termen de 10 zile lucrătoare de la data vizitei efectuate la faţa locului. </w:t>
      </w:r>
    </w:p>
    <w:p w14:paraId="5FC34BB2" w14:textId="77777777" w:rsidR="00A657B7" w:rsidRDefault="00245051">
      <w:pPr>
        <w:spacing w:before="0" w:after="0"/>
        <w:ind w:left="0"/>
      </w:pPr>
      <w:r>
        <w:t>Vizitele la fața locului sunt parte a procesului de monitorizare realizate de către AMPTJ,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623BC38E" w14:textId="77777777" w:rsidR="00A657B7" w:rsidRDefault="00A657B7">
      <w:pPr>
        <w:spacing w:before="0" w:after="0"/>
        <w:ind w:left="0"/>
      </w:pPr>
    </w:p>
    <w:p w14:paraId="29C9FAE6" w14:textId="77777777" w:rsidR="00A657B7" w:rsidRDefault="00245051">
      <w:pPr>
        <w:spacing w:before="0" w:after="0"/>
        <w:ind w:left="0"/>
      </w:pPr>
      <w:r>
        <w:t xml:space="preserve">Vizitele la faţa locului pot fi speciale de tip ad-hoc, încrucișate derulate atât în perioada de implementare, cât şi post-implementare, respectiv pe perioada în care beneficiarul/liderul de parteneriat are obligația de a asigura caracterul durabil al operațiunilor potrivit prevederilor </w:t>
      </w:r>
      <w:hyperlink w:anchor="p-461845481" w:tooltip="Current Document" w:history="1">
        <w:r w:rsidR="00A657B7">
          <w:t>art. 65</w:t>
        </w:r>
      </w:hyperlink>
      <w:r>
        <w:t xml:space="preserve"> din Regulamentul (UE) 2021/1.060, consolidat.</w:t>
      </w:r>
    </w:p>
    <w:p w14:paraId="44AB1B00" w14:textId="77777777" w:rsidR="00A657B7" w:rsidRDefault="00245051">
      <w:pPr>
        <w:spacing w:before="0" w:after="0"/>
        <w:ind w:left="0"/>
      </w:pPr>
      <w:r>
        <w:t xml:space="preserve">  </w:t>
      </w:r>
    </w:p>
    <w:p w14:paraId="7337B9D8" w14:textId="77777777" w:rsidR="00A657B7" w:rsidRDefault="00245051">
      <w:pPr>
        <w:spacing w:before="0" w:after="0"/>
        <w:ind w:left="0"/>
      </w:pPr>
      <w:r>
        <w:t xml:space="preserve">Prevederile din </w:t>
      </w:r>
      <w:r>
        <w:rPr>
          <w:b/>
        </w:rPr>
        <w:t>secțiunile 9-12 din cadrul prezentului ghid</w:t>
      </w:r>
      <w:r>
        <w:t xml:space="preserve"> reprezintă o descrie pe scurt a mecanismelor prevăzute de legislația în vigoare și respectiv contractul de finanțare. Ele se completează cu acestea și se recomandă solicitantului la finanțare să înțeleagă aceste aspecte înainte de a transmite cererea de finanțare și/sau semna contractul de finanțare/actul adițional, după caz.</w:t>
      </w:r>
    </w:p>
    <w:p w14:paraId="3BE1946C" w14:textId="77777777" w:rsidR="00A657B7" w:rsidRDefault="00A657B7">
      <w:pPr>
        <w:rPr>
          <w:color w:val="FF0000"/>
        </w:rPr>
      </w:pPr>
    </w:p>
    <w:p w14:paraId="5807BDF0" w14:textId="77777777" w:rsidR="00A657B7" w:rsidRDefault="00245051">
      <w:pPr>
        <w:pStyle w:val="Heading1"/>
      </w:pPr>
      <w:bookmarkStart w:id="245" w:name="_Toc143499359"/>
      <w:bookmarkStart w:id="246" w:name="_Toc213405620"/>
      <w:r>
        <w:t>13 MODIFICAREA GHIDULUI SOLICITANTULUI</w:t>
      </w:r>
      <w:bookmarkEnd w:id="245"/>
      <w:bookmarkEnd w:id="246"/>
    </w:p>
    <w:p w14:paraId="3C0E7DB3" w14:textId="77777777" w:rsidR="00A657B7" w:rsidRDefault="00245051">
      <w:pPr>
        <w:pStyle w:val="Heading2"/>
      </w:pPr>
      <w:bookmarkStart w:id="247" w:name="_Toc143499360"/>
      <w:bookmarkStart w:id="248" w:name="_Toc213405621"/>
      <w:r>
        <w:t>13.1 Aspectele care pot face obiectul modificărilor prevederilor ghidului solicitantului</w:t>
      </w:r>
      <w:bookmarkEnd w:id="247"/>
      <w:bookmarkEnd w:id="248"/>
    </w:p>
    <w:p w14:paraId="12F909E2" w14:textId="77777777" w:rsidR="00A657B7" w:rsidRDefault="00245051">
      <w:pPr>
        <w:ind w:left="0"/>
      </w:pPr>
      <w:r>
        <w:t>Aspectele prevăzute în cadrul prezentului Ghid se raportează la legislația în vigoare. Modificarea prevederilor legale în vigoare poate determina AM PTJ/OI PTJ să solicite documente suplimentare și/sau respectarea unor condiții suplimentare față de prevederile prezentului ghid, pentru conformarea cu modificările legislative intervenite.</w:t>
      </w:r>
    </w:p>
    <w:p w14:paraId="76FCCC02" w14:textId="77777777" w:rsidR="00A657B7" w:rsidRDefault="00245051">
      <w:pPr>
        <w:ind w:left="0"/>
      </w:pPr>
      <w:r>
        <w:t xml:space="preserv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B2B6FAC" w14:textId="77777777" w:rsidR="00A657B7" w:rsidRDefault="00245051">
      <w:pPr>
        <w:ind w:left="0"/>
      </w:pPr>
      <w: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C67F892" w14:textId="77777777" w:rsidR="00A657B7" w:rsidRDefault="00245051">
      <w:pPr>
        <w:ind w:left="0"/>
      </w:pPr>
      <w:r>
        <w:t>AM PTJ/OI PTJ se va asigura că va realiza toate demersurile necesare pentru respectarea principiului competițional în procesul de selecție a tuturor proiectelor depuse în cadrul fiecărui apel.</w:t>
      </w:r>
    </w:p>
    <w:p w14:paraId="2BB7BFC6" w14:textId="77777777" w:rsidR="00A657B7" w:rsidRDefault="00245051">
      <w:pPr>
        <w:ind w:left="0"/>
      </w:pPr>
      <w:r>
        <w:lastRenderedPageBreak/>
        <w:t xml:space="preserve">În situația în care pe parcursul apelului de proiecte intervin modificări ale cadrului legal, acestea vor fi direct aplicabile, fără a fi necesară modificarea ghidului. </w:t>
      </w:r>
    </w:p>
    <w:p w14:paraId="4344D463" w14:textId="77777777" w:rsidR="00A657B7" w:rsidRDefault="00245051">
      <w:pPr>
        <w:ind w:left="0"/>
      </w:pPr>
      <w:r>
        <w:t>Alte modificări decât cele care rezultă din cadrul legal, de natură a afecta regulile și condițiile de finanțare stabilite prin prezentul ghid vor fi realizate prin completări sau modificări ale conținutului acestuia.</w:t>
      </w:r>
    </w:p>
    <w:p w14:paraId="4294C26A" w14:textId="77777777" w:rsidR="00A657B7" w:rsidRDefault="00245051">
      <w:pPr>
        <w:pStyle w:val="Heading2"/>
      </w:pPr>
      <w:bookmarkStart w:id="249" w:name="_Toc143499361"/>
      <w:bookmarkStart w:id="250" w:name="_Toc213405622"/>
      <w:r>
        <w:t>13.2 Condiții privind aplicarea modificărilor pentru cererile de finanțare aflate în procesul de selecție (condiții tranzitorii)</w:t>
      </w:r>
      <w:bookmarkEnd w:id="249"/>
      <w:bookmarkEnd w:id="250"/>
    </w:p>
    <w:p w14:paraId="5FF33E4A" w14:textId="77777777" w:rsidR="00A657B7" w:rsidRDefault="00245051">
      <w:pPr>
        <w:ind w:left="0"/>
      </w:pPr>
      <w:r>
        <w:t>Pentru aplicarea celor menționate la secțiunea 13.1, AMPTJ poate emite ordine de modificare/completare a prevederilor prezentului ghid, cu mențiunea că în cadrul acestor ordine vor fi precizate dispozițiile tranzitorii cu privire la proiectele aflate în procesul de evaluare, selecție și contractare.</w:t>
      </w:r>
    </w:p>
    <w:p w14:paraId="11A9784C" w14:textId="77777777" w:rsidR="00A657B7" w:rsidRDefault="00245051">
      <w:pPr>
        <w:ind w:left="0"/>
      </w:pPr>
      <w:r>
        <w:t>AMPTJ poate emite clarificări/interpretări a prevederilor prezentului ghid, cu condiția ca acestea să nu modifice/completeze prevederile acestuia.</w:t>
      </w:r>
    </w:p>
    <w:p w14:paraId="2D78C62A" w14:textId="77777777" w:rsidR="00A657B7" w:rsidRDefault="00245051">
      <w:pPr>
        <w:ind w:left="0"/>
      </w:pPr>
      <w:r>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D5708D6" w14:textId="77777777" w:rsidR="00A657B7" w:rsidRDefault="00A657B7"/>
    <w:p w14:paraId="5EFAA978" w14:textId="77BAB0AE" w:rsidR="00A657B7" w:rsidRDefault="00A657B7" w:rsidP="006076B1">
      <w:pPr>
        <w:pStyle w:val="Heading1"/>
        <w:ind w:left="0"/>
        <w:rPr>
          <w:color w:val="0000FF"/>
        </w:rPr>
      </w:pPr>
    </w:p>
    <w:sectPr w:rsidR="00A657B7">
      <w:footerReference w:type="default" r:id="rId15"/>
      <w:footerReference w:type="first" r:id="rId16"/>
      <w:type w:val="continuous"/>
      <w:pgSz w:w="11906" w:h="16838"/>
      <w:pgMar w:top="1417" w:right="1133" w:bottom="851" w:left="1134" w:header="0"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A6EF9" w14:textId="77777777" w:rsidR="00C026E5" w:rsidRDefault="00C026E5">
      <w:pPr>
        <w:spacing w:before="0" w:after="0"/>
      </w:pPr>
      <w:r>
        <w:separator/>
      </w:r>
    </w:p>
  </w:endnote>
  <w:endnote w:type="continuationSeparator" w:id="0">
    <w:p w14:paraId="5D7352C0" w14:textId="77777777" w:rsidR="00C026E5" w:rsidRDefault="00C026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OpenSymbol">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846851"/>
      <w:docPartObj>
        <w:docPartGallery w:val="Page Numbers (Bottom of Page)"/>
        <w:docPartUnique/>
      </w:docPartObj>
    </w:sdtPr>
    <w:sdtEndPr/>
    <w:sdtContent>
      <w:p w14:paraId="3CD0A60B" w14:textId="77777777" w:rsidR="00A657B7" w:rsidRDefault="00245051">
        <w:pPr>
          <w:pStyle w:val="Footer"/>
          <w:spacing w:before="0"/>
          <w:jc w:val="center"/>
        </w:pPr>
        <w:r>
          <w:fldChar w:fldCharType="begin"/>
        </w:r>
        <w:r>
          <w:instrText xml:space="preserve"> PAGE </w:instrText>
        </w:r>
        <w:r>
          <w:fldChar w:fldCharType="separate"/>
        </w:r>
        <w:r>
          <w:t>6</w:t>
        </w:r>
        <w:r>
          <w:fldChar w:fldCharType="end"/>
        </w:r>
      </w:p>
      <w:p w14:paraId="2B7EB8A2" w14:textId="77777777" w:rsidR="00A657B7" w:rsidRDefault="00245051">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E18D6" w14:textId="77777777" w:rsidR="00A657B7" w:rsidRDefault="00A657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415335"/>
      <w:docPartObj>
        <w:docPartGallery w:val="Page Numbers (Bottom of Page)"/>
        <w:docPartUnique/>
      </w:docPartObj>
    </w:sdtPr>
    <w:sdtEndPr/>
    <w:sdtContent>
      <w:p w14:paraId="099D5F10" w14:textId="77777777" w:rsidR="00A657B7" w:rsidRDefault="00245051">
        <w:pPr>
          <w:pStyle w:val="Footer"/>
          <w:spacing w:before="0"/>
          <w:jc w:val="center"/>
        </w:pPr>
        <w:r>
          <w:fldChar w:fldCharType="begin"/>
        </w:r>
        <w:r>
          <w:instrText xml:space="preserve"> PAGE </w:instrText>
        </w:r>
        <w:r>
          <w:fldChar w:fldCharType="separate"/>
        </w:r>
        <w:r>
          <w:t>21</w:t>
        </w:r>
        <w:r>
          <w:fldChar w:fldCharType="end"/>
        </w:r>
      </w:p>
      <w:p w14:paraId="75549578" w14:textId="77777777" w:rsidR="00A657B7" w:rsidRDefault="00245051">
        <w:pPr>
          <w:pStyle w:val="Foo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4100" w14:textId="77777777" w:rsidR="00A657B7" w:rsidRDefault="00A657B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F5023" w14:textId="77777777" w:rsidR="00C026E5" w:rsidRDefault="00C026E5">
      <w:pPr>
        <w:rPr>
          <w:sz w:val="12"/>
        </w:rPr>
      </w:pPr>
      <w:r>
        <w:separator/>
      </w:r>
    </w:p>
  </w:footnote>
  <w:footnote w:type="continuationSeparator" w:id="0">
    <w:p w14:paraId="100C1AB9" w14:textId="77777777" w:rsidR="00C026E5" w:rsidRDefault="00C026E5">
      <w:pPr>
        <w:rPr>
          <w:sz w:val="12"/>
        </w:rPr>
      </w:pPr>
      <w:r>
        <w:continuationSeparator/>
      </w:r>
    </w:p>
  </w:footnote>
  <w:footnote w:id="1">
    <w:p w14:paraId="6AB5853A" w14:textId="77777777" w:rsidR="00A657B7" w:rsidRDefault="00245051">
      <w:pPr>
        <w:pStyle w:val="FootnoteText"/>
        <w:rPr>
          <w:lang w:val="en-US"/>
        </w:rPr>
      </w:pPr>
      <w:r>
        <w:rPr>
          <w:rStyle w:val="Caracterelenoteidesubsol"/>
        </w:rPr>
        <w:footnoteRef/>
      </w:r>
      <w:r>
        <w:t xml:space="preserve"> Ordinului președintelui ANRE nr. 61/2016, cu modificările și completările ulterioare - Regulament de etichetare a energiei electrice</w:t>
      </w:r>
    </w:p>
  </w:footnote>
  <w:footnote w:id="2">
    <w:p w14:paraId="50C4F4C9" w14:textId="77777777" w:rsidR="00A657B7" w:rsidRDefault="00245051">
      <w:pPr>
        <w:pStyle w:val="FootnoteText"/>
      </w:pPr>
      <w:r>
        <w:rPr>
          <w:rStyle w:val="Caracterelenoteidesubsol"/>
        </w:rPr>
        <w:footnoteRef/>
      </w:r>
    </w:p>
  </w:footnote>
  <w:footnote w:id="3">
    <w:p w14:paraId="2EEFA062" w14:textId="77777777" w:rsidR="00A657B7" w:rsidRDefault="00245051">
      <w:pPr>
        <w:pStyle w:val="FootnoteText"/>
      </w:pPr>
      <w:r>
        <w:rPr>
          <w:rStyle w:val="Caracterelenoteidesubsol"/>
        </w:rPr>
        <w:footnoteRef/>
      </w:r>
      <w:r>
        <w:t xml:space="preserve"> </w:t>
      </w:r>
      <w:r>
        <w:rPr>
          <w:bCs/>
          <w:szCs w:val="16"/>
        </w:rPr>
        <w:t>Memoriu de prezentare, raport privind impactul asupra mediului (RIM), studiu de evaluare adecvată (EA), după caz.</w:t>
      </w:r>
    </w:p>
  </w:footnote>
  <w:footnote w:id="4">
    <w:p w14:paraId="39E88F84" w14:textId="77777777" w:rsidR="00A657B7" w:rsidRDefault="00245051">
      <w:pPr>
        <w:pStyle w:val="FootnoteText"/>
        <w:rPr>
          <w:bCs/>
          <w:szCs w:val="16"/>
        </w:rPr>
      </w:pPr>
      <w:r>
        <w:rPr>
          <w:rStyle w:val="Caracterelenoteidesubsol"/>
        </w:rPr>
        <w:footnoteRef/>
      </w:r>
      <w:r>
        <w:t xml:space="preserve"> </w:t>
      </w:r>
      <w:r>
        <w:rPr>
          <w:bCs/>
          <w:szCs w:val="16"/>
        </w:rPr>
        <w:t>Inclusiv în Ghidurile sectoriale aprobate de Ministerul Mediului, Apelor și Pădurilor.</w:t>
      </w:r>
    </w:p>
    <w:p w14:paraId="29D69279" w14:textId="77777777" w:rsidR="00A657B7" w:rsidRDefault="00A657B7">
      <w:pPr>
        <w:pStyle w:val="FootnoteText"/>
      </w:pPr>
    </w:p>
  </w:footnote>
  <w:footnote w:id="5">
    <w:p w14:paraId="27BDE56E" w14:textId="77777777" w:rsidR="00A657B7" w:rsidRDefault="00245051">
      <w:pPr>
        <w:pStyle w:val="FootnoteText"/>
      </w:pPr>
      <w:r>
        <w:rPr>
          <w:rStyle w:val="Caracterelenoteidesubsol"/>
        </w:rPr>
        <w:footnoteRef/>
      </w:r>
      <w:r>
        <w:t xml:space="preserve"> </w:t>
      </w:r>
      <w:hyperlink r:id="rId1" w:history="1">
        <w:r w:rsidR="00A657B7">
          <w:rPr>
            <w:rStyle w:val="Hyperlink"/>
            <w:rFonts w:eastAsia="Calibri Light"/>
          </w:rPr>
          <w:t>https://sgg.gov.ro/1/wp-content/uploads/2018/10/SNDD-2030-_-varianta-dup%C4%83-Comitet-interministerial-4-octombrie-2018.pdf</w:t>
        </w:r>
      </w:hyperlink>
    </w:p>
  </w:footnote>
  <w:footnote w:id="6">
    <w:p w14:paraId="14266A7F" w14:textId="77777777" w:rsidR="00B2700E" w:rsidRDefault="00B2700E" w:rsidP="00B2700E">
      <w:pPr>
        <w:pStyle w:val="FootnoteText"/>
      </w:pPr>
      <w:r>
        <w:rPr>
          <w:rStyle w:val="FootnoteReference"/>
        </w:rPr>
        <w:footnoteRef/>
      </w:r>
      <w:r>
        <w:t xml:space="preserve"> reprezentantul legal care îşi exercită atribuţiile de drept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1AF"/>
    <w:multiLevelType w:val="hybridMultilevel"/>
    <w:tmpl w:val="817837CC"/>
    <w:lvl w:ilvl="0" w:tplc="F7BC7164">
      <w:start w:val="1"/>
      <w:numFmt w:val="bullet"/>
      <w:lvlText w:val=""/>
      <w:lvlJc w:val="left"/>
      <w:pPr>
        <w:tabs>
          <w:tab w:val="left" w:pos="0"/>
        </w:tabs>
        <w:ind w:left="1540" w:hanging="360"/>
      </w:pPr>
      <w:rPr>
        <w:rFonts w:ascii="Symbol" w:hAnsi="Symbol" w:cs="Symbol" w:hint="default"/>
      </w:rPr>
    </w:lvl>
    <w:lvl w:ilvl="1" w:tplc="945648E8">
      <w:start w:val="1"/>
      <w:numFmt w:val="bullet"/>
      <w:lvlText w:val="o"/>
      <w:lvlJc w:val="left"/>
      <w:pPr>
        <w:tabs>
          <w:tab w:val="left" w:pos="0"/>
        </w:tabs>
        <w:ind w:left="2260" w:hanging="360"/>
      </w:pPr>
      <w:rPr>
        <w:rFonts w:ascii="Courier New" w:hAnsi="Courier New" w:cs="Courier New" w:hint="default"/>
      </w:rPr>
    </w:lvl>
    <w:lvl w:ilvl="2" w:tplc="74EE47DE">
      <w:start w:val="1"/>
      <w:numFmt w:val="bullet"/>
      <w:lvlText w:val=""/>
      <w:lvlJc w:val="left"/>
      <w:pPr>
        <w:tabs>
          <w:tab w:val="left" w:pos="0"/>
        </w:tabs>
        <w:ind w:left="2980" w:hanging="360"/>
      </w:pPr>
      <w:rPr>
        <w:rFonts w:ascii="Wingdings" w:hAnsi="Wingdings" w:cs="Wingdings" w:hint="default"/>
      </w:rPr>
    </w:lvl>
    <w:lvl w:ilvl="3" w:tplc="911A093A">
      <w:start w:val="1"/>
      <w:numFmt w:val="bullet"/>
      <w:lvlText w:val=""/>
      <w:lvlJc w:val="left"/>
      <w:pPr>
        <w:tabs>
          <w:tab w:val="left" w:pos="0"/>
        </w:tabs>
        <w:ind w:left="3700" w:hanging="360"/>
      </w:pPr>
      <w:rPr>
        <w:rFonts w:ascii="Symbol" w:hAnsi="Symbol" w:cs="Symbol" w:hint="default"/>
      </w:rPr>
    </w:lvl>
    <w:lvl w:ilvl="4" w:tplc="4D644FE4">
      <w:start w:val="1"/>
      <w:numFmt w:val="bullet"/>
      <w:lvlText w:val=""/>
      <w:lvlJc w:val="left"/>
      <w:pPr>
        <w:tabs>
          <w:tab w:val="left" w:pos="0"/>
        </w:tabs>
        <w:ind w:left="2880" w:hanging="360"/>
      </w:pPr>
      <w:rPr>
        <w:rFonts w:ascii="Symbol" w:hAnsi="Symbol" w:cs="Symbol" w:hint="default"/>
      </w:rPr>
    </w:lvl>
    <w:lvl w:ilvl="5" w:tplc="691E41AA">
      <w:start w:val="1"/>
      <w:numFmt w:val="bullet"/>
      <w:lvlText w:val=""/>
      <w:lvlJc w:val="left"/>
      <w:pPr>
        <w:tabs>
          <w:tab w:val="left" w:pos="0"/>
        </w:tabs>
        <w:ind w:left="5140" w:hanging="360"/>
      </w:pPr>
      <w:rPr>
        <w:rFonts w:ascii="Wingdings" w:hAnsi="Wingdings" w:cs="Wingdings" w:hint="default"/>
      </w:rPr>
    </w:lvl>
    <w:lvl w:ilvl="6" w:tplc="9BB629BE">
      <w:start w:val="1"/>
      <w:numFmt w:val="bullet"/>
      <w:lvlText w:val=""/>
      <w:lvlJc w:val="left"/>
      <w:pPr>
        <w:tabs>
          <w:tab w:val="left" w:pos="0"/>
        </w:tabs>
        <w:ind w:left="5860" w:hanging="360"/>
      </w:pPr>
      <w:rPr>
        <w:rFonts w:ascii="Symbol" w:hAnsi="Symbol" w:cs="Symbol" w:hint="default"/>
      </w:rPr>
    </w:lvl>
    <w:lvl w:ilvl="7" w:tplc="CEDE91E2">
      <w:start w:val="1"/>
      <w:numFmt w:val="bullet"/>
      <w:lvlText w:val="o"/>
      <w:lvlJc w:val="left"/>
      <w:pPr>
        <w:tabs>
          <w:tab w:val="left" w:pos="0"/>
        </w:tabs>
        <w:ind w:left="6580" w:hanging="360"/>
      </w:pPr>
      <w:rPr>
        <w:rFonts w:ascii="Courier New" w:hAnsi="Courier New" w:cs="Courier New" w:hint="default"/>
      </w:rPr>
    </w:lvl>
    <w:lvl w:ilvl="8" w:tplc="05643000">
      <w:start w:val="1"/>
      <w:numFmt w:val="bullet"/>
      <w:lvlText w:val=""/>
      <w:lvlJc w:val="left"/>
      <w:pPr>
        <w:tabs>
          <w:tab w:val="left" w:pos="0"/>
        </w:tabs>
        <w:ind w:left="7300" w:hanging="360"/>
      </w:pPr>
      <w:rPr>
        <w:rFonts w:ascii="Wingdings" w:hAnsi="Wingdings" w:cs="Wingdings" w:hint="default"/>
      </w:rPr>
    </w:lvl>
  </w:abstractNum>
  <w:abstractNum w:abstractNumId="1" w15:restartNumberingAfterBreak="0">
    <w:nsid w:val="0B946F2A"/>
    <w:multiLevelType w:val="hybridMultilevel"/>
    <w:tmpl w:val="C8503042"/>
    <w:lvl w:ilvl="0" w:tplc="C4183DA4">
      <w:start w:val="1"/>
      <w:numFmt w:val="bullet"/>
      <w:lvlText w:val=""/>
      <w:lvlJc w:val="left"/>
      <w:pPr>
        <w:ind w:left="1080" w:hanging="360"/>
      </w:pPr>
      <w:rPr>
        <w:rFonts w:ascii="Symbol" w:hAnsi="Symbol" w:hint="default"/>
      </w:rPr>
    </w:lvl>
    <w:lvl w:ilvl="1" w:tplc="26584206">
      <w:start w:val="1"/>
      <w:numFmt w:val="bullet"/>
      <w:lvlText w:val="o"/>
      <w:lvlJc w:val="left"/>
      <w:pPr>
        <w:ind w:left="1800" w:hanging="360"/>
      </w:pPr>
      <w:rPr>
        <w:rFonts w:ascii="Courier New" w:hAnsi="Courier New" w:cs="Courier New" w:hint="default"/>
      </w:rPr>
    </w:lvl>
    <w:lvl w:ilvl="2" w:tplc="4972EA26">
      <w:start w:val="1"/>
      <w:numFmt w:val="bullet"/>
      <w:lvlText w:val=""/>
      <w:lvlJc w:val="left"/>
      <w:pPr>
        <w:ind w:left="2520" w:hanging="360"/>
      </w:pPr>
      <w:rPr>
        <w:rFonts w:ascii="Wingdings" w:hAnsi="Wingdings" w:hint="default"/>
      </w:rPr>
    </w:lvl>
    <w:lvl w:ilvl="3" w:tplc="6604306E">
      <w:start w:val="1"/>
      <w:numFmt w:val="bullet"/>
      <w:lvlText w:val=""/>
      <w:lvlJc w:val="left"/>
      <w:pPr>
        <w:ind w:left="3240" w:hanging="360"/>
      </w:pPr>
      <w:rPr>
        <w:rFonts w:ascii="Symbol" w:hAnsi="Symbol" w:hint="default"/>
      </w:rPr>
    </w:lvl>
    <w:lvl w:ilvl="4" w:tplc="458098AE">
      <w:start w:val="1"/>
      <w:numFmt w:val="bullet"/>
      <w:lvlText w:val="o"/>
      <w:lvlJc w:val="left"/>
      <w:pPr>
        <w:ind w:left="3960" w:hanging="360"/>
      </w:pPr>
      <w:rPr>
        <w:rFonts w:ascii="Courier New" w:hAnsi="Courier New" w:cs="Courier New" w:hint="default"/>
      </w:rPr>
    </w:lvl>
    <w:lvl w:ilvl="5" w:tplc="E7A41BA0">
      <w:start w:val="1"/>
      <w:numFmt w:val="bullet"/>
      <w:lvlText w:val=""/>
      <w:lvlJc w:val="left"/>
      <w:pPr>
        <w:ind w:left="4680" w:hanging="360"/>
      </w:pPr>
      <w:rPr>
        <w:rFonts w:ascii="Wingdings" w:hAnsi="Wingdings" w:hint="default"/>
      </w:rPr>
    </w:lvl>
    <w:lvl w:ilvl="6" w:tplc="2C227D48">
      <w:start w:val="1"/>
      <w:numFmt w:val="bullet"/>
      <w:lvlText w:val=""/>
      <w:lvlJc w:val="left"/>
      <w:pPr>
        <w:ind w:left="5400" w:hanging="360"/>
      </w:pPr>
      <w:rPr>
        <w:rFonts w:ascii="Symbol" w:hAnsi="Symbol" w:hint="default"/>
      </w:rPr>
    </w:lvl>
    <w:lvl w:ilvl="7" w:tplc="D85CE3EA">
      <w:start w:val="1"/>
      <w:numFmt w:val="bullet"/>
      <w:lvlText w:val="o"/>
      <w:lvlJc w:val="left"/>
      <w:pPr>
        <w:ind w:left="6120" w:hanging="360"/>
      </w:pPr>
      <w:rPr>
        <w:rFonts w:ascii="Courier New" w:hAnsi="Courier New" w:cs="Courier New" w:hint="default"/>
      </w:rPr>
    </w:lvl>
    <w:lvl w:ilvl="8" w:tplc="34A4EFD4">
      <w:start w:val="1"/>
      <w:numFmt w:val="bullet"/>
      <w:lvlText w:val=""/>
      <w:lvlJc w:val="left"/>
      <w:pPr>
        <w:ind w:left="6840" w:hanging="360"/>
      </w:pPr>
      <w:rPr>
        <w:rFonts w:ascii="Wingdings" w:hAnsi="Wingdings" w:hint="default"/>
      </w:rPr>
    </w:lvl>
  </w:abstractNum>
  <w:abstractNum w:abstractNumId="2"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DC616F4"/>
    <w:multiLevelType w:val="hybridMultilevel"/>
    <w:tmpl w:val="82B62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7" w15:restartNumberingAfterBreak="0">
    <w:nsid w:val="143150B8"/>
    <w:multiLevelType w:val="hybridMultilevel"/>
    <w:tmpl w:val="BEE86508"/>
    <w:lvl w:ilvl="0" w:tplc="4F8C29D4">
      <w:start w:val="1"/>
      <w:numFmt w:val="lowerLetter"/>
      <w:lvlText w:val="%1)"/>
      <w:lvlJc w:val="left"/>
      <w:pPr>
        <w:tabs>
          <w:tab w:val="left" w:pos="0"/>
        </w:tabs>
        <w:ind w:left="1440" w:hanging="360"/>
      </w:pPr>
    </w:lvl>
    <w:lvl w:ilvl="1" w:tplc="26B67FD0">
      <w:start w:val="1"/>
      <w:numFmt w:val="lowerLetter"/>
      <w:lvlText w:val="%2."/>
      <w:lvlJc w:val="left"/>
      <w:pPr>
        <w:tabs>
          <w:tab w:val="left" w:pos="0"/>
        </w:tabs>
        <w:ind w:left="2160" w:hanging="360"/>
      </w:pPr>
    </w:lvl>
    <w:lvl w:ilvl="2" w:tplc="DFD6A982">
      <w:start w:val="1"/>
      <w:numFmt w:val="lowerRoman"/>
      <w:lvlText w:val="%3."/>
      <w:lvlJc w:val="right"/>
      <w:pPr>
        <w:tabs>
          <w:tab w:val="left" w:pos="0"/>
        </w:tabs>
        <w:ind w:left="2880" w:hanging="180"/>
      </w:pPr>
    </w:lvl>
    <w:lvl w:ilvl="3" w:tplc="4F528EA0">
      <w:start w:val="1"/>
      <w:numFmt w:val="decimal"/>
      <w:lvlText w:val="%4."/>
      <w:lvlJc w:val="left"/>
      <w:pPr>
        <w:tabs>
          <w:tab w:val="left" w:pos="0"/>
        </w:tabs>
        <w:ind w:left="3600" w:hanging="360"/>
      </w:pPr>
    </w:lvl>
    <w:lvl w:ilvl="4" w:tplc="F91C6028">
      <w:start w:val="1"/>
      <w:numFmt w:val="lowerLetter"/>
      <w:lvlText w:val="%5."/>
      <w:lvlJc w:val="left"/>
      <w:pPr>
        <w:tabs>
          <w:tab w:val="left" w:pos="0"/>
        </w:tabs>
        <w:ind w:left="4320" w:hanging="360"/>
      </w:pPr>
    </w:lvl>
    <w:lvl w:ilvl="5" w:tplc="75603D78">
      <w:start w:val="1"/>
      <w:numFmt w:val="lowerRoman"/>
      <w:lvlText w:val="%6."/>
      <w:lvlJc w:val="right"/>
      <w:pPr>
        <w:tabs>
          <w:tab w:val="left" w:pos="0"/>
        </w:tabs>
        <w:ind w:left="5040" w:hanging="180"/>
      </w:pPr>
    </w:lvl>
    <w:lvl w:ilvl="6" w:tplc="72D01844">
      <w:start w:val="1"/>
      <w:numFmt w:val="decimal"/>
      <w:lvlText w:val="%7."/>
      <w:lvlJc w:val="left"/>
      <w:pPr>
        <w:tabs>
          <w:tab w:val="left" w:pos="0"/>
        </w:tabs>
        <w:ind w:left="5760" w:hanging="360"/>
      </w:pPr>
    </w:lvl>
    <w:lvl w:ilvl="7" w:tplc="6AE8E726">
      <w:start w:val="1"/>
      <w:numFmt w:val="lowerLetter"/>
      <w:lvlText w:val="%8."/>
      <w:lvlJc w:val="left"/>
      <w:pPr>
        <w:tabs>
          <w:tab w:val="left" w:pos="0"/>
        </w:tabs>
        <w:ind w:left="6480" w:hanging="360"/>
      </w:pPr>
    </w:lvl>
    <w:lvl w:ilvl="8" w:tplc="35ECFFAC">
      <w:start w:val="1"/>
      <w:numFmt w:val="lowerRoman"/>
      <w:lvlText w:val="%9."/>
      <w:lvlJc w:val="right"/>
      <w:pPr>
        <w:tabs>
          <w:tab w:val="left" w:pos="0"/>
        </w:tabs>
        <w:ind w:left="7200" w:hanging="180"/>
      </w:pPr>
    </w:lvl>
  </w:abstractNum>
  <w:abstractNum w:abstractNumId="8" w15:restartNumberingAfterBreak="0">
    <w:nsid w:val="16206F73"/>
    <w:multiLevelType w:val="hybridMultilevel"/>
    <w:tmpl w:val="62FCFC7C"/>
    <w:lvl w:ilvl="0" w:tplc="AD065FC4">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F129C"/>
    <w:multiLevelType w:val="multilevel"/>
    <w:tmpl w:val="54C8CD02"/>
    <w:lvl w:ilvl="0">
      <w:start w:val="1"/>
      <w:numFmt w:val="decimal"/>
      <w:lvlText w:val="%1"/>
      <w:lvlJc w:val="left"/>
      <w:pPr>
        <w:tabs>
          <w:tab w:val="left" w:pos="0"/>
        </w:tabs>
        <w:ind w:left="432" w:hanging="432"/>
      </w:pPr>
    </w:lvl>
    <w:lvl w:ilvl="1">
      <w:start w:val="1"/>
      <w:numFmt w:val="decimal"/>
      <w:lvlText w:val="%1.%2"/>
      <w:lvlJc w:val="left"/>
      <w:pPr>
        <w:tabs>
          <w:tab w:val="left" w:pos="360"/>
        </w:tabs>
        <w:ind w:left="936" w:hanging="576"/>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864" w:hanging="864"/>
      </w:pPr>
    </w:lvl>
    <w:lvl w:ilvl="4">
      <w:start w:val="1"/>
      <w:numFmt w:val="decimal"/>
      <w:lvlText w:val="%1.%2.%3.%4.%5"/>
      <w:lvlJc w:val="left"/>
      <w:pPr>
        <w:tabs>
          <w:tab w:val="left" w:pos="0"/>
        </w:tabs>
        <w:ind w:left="1008" w:hanging="1008"/>
      </w:pPr>
    </w:lvl>
    <w:lvl w:ilvl="5">
      <w:start w:val="1"/>
      <w:numFmt w:val="decimal"/>
      <w:lvlText w:val="%1.%2.%3.%4.%5.%6"/>
      <w:lvlJc w:val="left"/>
      <w:pPr>
        <w:tabs>
          <w:tab w:val="left" w:pos="0"/>
        </w:tabs>
        <w:ind w:left="1152" w:hanging="1152"/>
      </w:pPr>
    </w:lvl>
    <w:lvl w:ilvl="6">
      <w:start w:val="1"/>
      <w:numFmt w:val="decimal"/>
      <w:lvlText w:val="%1.%2.%3.%4.%5.%6.%7"/>
      <w:lvlJc w:val="left"/>
      <w:pPr>
        <w:tabs>
          <w:tab w:val="left" w:pos="0"/>
        </w:tabs>
        <w:ind w:left="1296" w:hanging="1296"/>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584" w:hanging="1584"/>
      </w:pPr>
    </w:lvl>
  </w:abstractNum>
  <w:abstractNum w:abstractNumId="10" w15:restartNumberingAfterBreak="0">
    <w:nsid w:val="1B3D17C3"/>
    <w:multiLevelType w:val="hybridMultilevel"/>
    <w:tmpl w:val="7CA087D2"/>
    <w:lvl w:ilvl="0" w:tplc="00F4D20A">
      <w:start w:val="1"/>
      <w:numFmt w:val="bullet"/>
      <w:pStyle w:val="Criteriu"/>
      <w:lvlText w:val="●"/>
      <w:lvlJc w:val="left"/>
      <w:pPr>
        <w:tabs>
          <w:tab w:val="left" w:pos="0"/>
        </w:tabs>
        <w:ind w:left="2160" w:hanging="360"/>
      </w:pPr>
      <w:rPr>
        <w:rFonts w:ascii="Noto Sans Symbols" w:hAnsi="Noto Sans Symbols" w:cs="Noto Sans Symbols" w:hint="default"/>
      </w:rPr>
    </w:lvl>
    <w:lvl w:ilvl="1" w:tplc="5EFA371E">
      <w:start w:val="1"/>
      <w:numFmt w:val="bullet"/>
      <w:lvlText w:val="o"/>
      <w:lvlJc w:val="left"/>
      <w:pPr>
        <w:tabs>
          <w:tab w:val="left" w:pos="0"/>
        </w:tabs>
        <w:ind w:left="2880" w:hanging="360"/>
      </w:pPr>
      <w:rPr>
        <w:rFonts w:ascii="Courier New" w:hAnsi="Courier New" w:cs="Courier New" w:hint="default"/>
      </w:rPr>
    </w:lvl>
    <w:lvl w:ilvl="2" w:tplc="D9CA9FB6">
      <w:start w:val="1"/>
      <w:numFmt w:val="bullet"/>
      <w:lvlText w:val="▪"/>
      <w:lvlJc w:val="left"/>
      <w:pPr>
        <w:tabs>
          <w:tab w:val="left" w:pos="0"/>
        </w:tabs>
        <w:ind w:left="3600" w:hanging="360"/>
      </w:pPr>
      <w:rPr>
        <w:rFonts w:ascii="Noto Sans Symbols" w:hAnsi="Noto Sans Symbols" w:cs="Noto Sans Symbols" w:hint="default"/>
      </w:rPr>
    </w:lvl>
    <w:lvl w:ilvl="3" w:tplc="A74A4122">
      <w:start w:val="1"/>
      <w:numFmt w:val="bullet"/>
      <w:lvlText w:val="●"/>
      <w:lvlJc w:val="left"/>
      <w:pPr>
        <w:tabs>
          <w:tab w:val="left" w:pos="0"/>
        </w:tabs>
        <w:ind w:left="4320" w:hanging="360"/>
      </w:pPr>
      <w:rPr>
        <w:rFonts w:ascii="Noto Sans Symbols" w:hAnsi="Noto Sans Symbols" w:cs="Noto Sans Symbols" w:hint="default"/>
      </w:rPr>
    </w:lvl>
    <w:lvl w:ilvl="4" w:tplc="1090B9C6">
      <w:start w:val="1"/>
      <w:numFmt w:val="bullet"/>
      <w:lvlText w:val="o"/>
      <w:lvlJc w:val="left"/>
      <w:pPr>
        <w:tabs>
          <w:tab w:val="left" w:pos="0"/>
        </w:tabs>
        <w:ind w:left="5040" w:hanging="360"/>
      </w:pPr>
      <w:rPr>
        <w:rFonts w:ascii="Courier New" w:hAnsi="Courier New" w:cs="Courier New" w:hint="default"/>
      </w:rPr>
    </w:lvl>
    <w:lvl w:ilvl="5" w:tplc="97E01144">
      <w:start w:val="1"/>
      <w:numFmt w:val="bullet"/>
      <w:lvlText w:val="▪"/>
      <w:lvlJc w:val="left"/>
      <w:pPr>
        <w:tabs>
          <w:tab w:val="left" w:pos="0"/>
        </w:tabs>
        <w:ind w:left="5760" w:hanging="360"/>
      </w:pPr>
      <w:rPr>
        <w:rFonts w:ascii="Noto Sans Symbols" w:hAnsi="Noto Sans Symbols" w:cs="Noto Sans Symbols" w:hint="default"/>
      </w:rPr>
    </w:lvl>
    <w:lvl w:ilvl="6" w:tplc="E0F6CCA6">
      <w:start w:val="1"/>
      <w:numFmt w:val="bullet"/>
      <w:lvlText w:val="●"/>
      <w:lvlJc w:val="left"/>
      <w:pPr>
        <w:tabs>
          <w:tab w:val="left" w:pos="0"/>
        </w:tabs>
        <w:ind w:left="6480" w:hanging="360"/>
      </w:pPr>
      <w:rPr>
        <w:rFonts w:ascii="Noto Sans Symbols" w:hAnsi="Noto Sans Symbols" w:cs="Noto Sans Symbols" w:hint="default"/>
      </w:rPr>
    </w:lvl>
    <w:lvl w:ilvl="7" w:tplc="9FDEA0A0">
      <w:start w:val="1"/>
      <w:numFmt w:val="bullet"/>
      <w:lvlText w:val="o"/>
      <w:lvlJc w:val="left"/>
      <w:pPr>
        <w:tabs>
          <w:tab w:val="left" w:pos="0"/>
        </w:tabs>
        <w:ind w:left="7200" w:hanging="360"/>
      </w:pPr>
      <w:rPr>
        <w:rFonts w:ascii="Courier New" w:hAnsi="Courier New" w:cs="Courier New" w:hint="default"/>
      </w:rPr>
    </w:lvl>
    <w:lvl w:ilvl="8" w:tplc="9A80995C">
      <w:start w:val="1"/>
      <w:numFmt w:val="bullet"/>
      <w:lvlText w:val="▪"/>
      <w:lvlJc w:val="left"/>
      <w:pPr>
        <w:tabs>
          <w:tab w:val="left" w:pos="0"/>
        </w:tabs>
        <w:ind w:left="7920" w:hanging="360"/>
      </w:pPr>
      <w:rPr>
        <w:rFonts w:ascii="Noto Sans Symbols" w:hAnsi="Noto Sans Symbols" w:cs="Noto Sans Symbols" w:hint="default"/>
      </w:rPr>
    </w:lvl>
  </w:abstractNum>
  <w:abstractNum w:abstractNumId="11"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991D62"/>
    <w:multiLevelType w:val="hybridMultilevel"/>
    <w:tmpl w:val="F2C2C190"/>
    <w:lvl w:ilvl="0" w:tplc="4FA27158">
      <w:start w:val="1"/>
      <w:numFmt w:val="decimal"/>
      <w:pStyle w:val="Head1-Art"/>
      <w:lvlText w:val="%1."/>
      <w:lvlJc w:val="left"/>
      <w:pPr>
        <w:tabs>
          <w:tab w:val="left" w:pos="0"/>
        </w:tabs>
        <w:ind w:left="1440" w:hanging="360"/>
      </w:pPr>
      <w:rPr>
        <w:u w:val="none"/>
      </w:rPr>
    </w:lvl>
    <w:lvl w:ilvl="1" w:tplc="A232CF3C">
      <w:start w:val="1"/>
      <w:numFmt w:val="lowerLetter"/>
      <w:lvlText w:val="%2."/>
      <w:lvlJc w:val="left"/>
      <w:pPr>
        <w:tabs>
          <w:tab w:val="left" w:pos="0"/>
        </w:tabs>
        <w:ind w:left="2160" w:hanging="360"/>
      </w:pPr>
      <w:rPr>
        <w:u w:val="none"/>
      </w:rPr>
    </w:lvl>
    <w:lvl w:ilvl="2" w:tplc="AF96A19C">
      <w:start w:val="1"/>
      <w:numFmt w:val="lowerRoman"/>
      <w:lvlText w:val="%3."/>
      <w:lvlJc w:val="right"/>
      <w:pPr>
        <w:tabs>
          <w:tab w:val="left" w:pos="0"/>
        </w:tabs>
        <w:ind w:left="2880" w:hanging="360"/>
      </w:pPr>
      <w:rPr>
        <w:u w:val="none"/>
      </w:rPr>
    </w:lvl>
    <w:lvl w:ilvl="3" w:tplc="8D8EE64C">
      <w:start w:val="1"/>
      <w:numFmt w:val="decimal"/>
      <w:lvlText w:val="%4."/>
      <w:lvlJc w:val="left"/>
      <w:pPr>
        <w:tabs>
          <w:tab w:val="left" w:pos="0"/>
        </w:tabs>
        <w:ind w:left="3600" w:hanging="360"/>
      </w:pPr>
      <w:rPr>
        <w:u w:val="none"/>
      </w:rPr>
    </w:lvl>
    <w:lvl w:ilvl="4" w:tplc="85D26B32">
      <w:start w:val="1"/>
      <w:numFmt w:val="lowerLetter"/>
      <w:lvlText w:val="%5."/>
      <w:lvlJc w:val="left"/>
      <w:pPr>
        <w:tabs>
          <w:tab w:val="left" w:pos="0"/>
        </w:tabs>
        <w:ind w:left="4320" w:hanging="360"/>
      </w:pPr>
      <w:rPr>
        <w:u w:val="none"/>
      </w:rPr>
    </w:lvl>
    <w:lvl w:ilvl="5" w:tplc="E786A5A0">
      <w:start w:val="1"/>
      <w:numFmt w:val="lowerRoman"/>
      <w:lvlText w:val="%6."/>
      <w:lvlJc w:val="right"/>
      <w:pPr>
        <w:tabs>
          <w:tab w:val="left" w:pos="0"/>
        </w:tabs>
        <w:ind w:left="5040" w:hanging="360"/>
      </w:pPr>
      <w:rPr>
        <w:u w:val="none"/>
      </w:rPr>
    </w:lvl>
    <w:lvl w:ilvl="6" w:tplc="9CEA3E6C">
      <w:start w:val="1"/>
      <w:numFmt w:val="decimal"/>
      <w:lvlText w:val="%7."/>
      <w:lvlJc w:val="left"/>
      <w:pPr>
        <w:tabs>
          <w:tab w:val="left" w:pos="0"/>
        </w:tabs>
        <w:ind w:left="5760" w:hanging="360"/>
      </w:pPr>
      <w:rPr>
        <w:u w:val="none"/>
      </w:rPr>
    </w:lvl>
    <w:lvl w:ilvl="7" w:tplc="350A424C">
      <w:start w:val="1"/>
      <w:numFmt w:val="lowerLetter"/>
      <w:lvlText w:val="%8."/>
      <w:lvlJc w:val="left"/>
      <w:pPr>
        <w:tabs>
          <w:tab w:val="left" w:pos="0"/>
        </w:tabs>
        <w:ind w:left="6480" w:hanging="360"/>
      </w:pPr>
      <w:rPr>
        <w:u w:val="none"/>
      </w:rPr>
    </w:lvl>
    <w:lvl w:ilvl="8" w:tplc="C3842858">
      <w:start w:val="1"/>
      <w:numFmt w:val="lowerRoman"/>
      <w:lvlText w:val="%9."/>
      <w:lvlJc w:val="right"/>
      <w:pPr>
        <w:tabs>
          <w:tab w:val="left" w:pos="0"/>
        </w:tabs>
        <w:ind w:left="7200" w:hanging="360"/>
      </w:pPr>
      <w:rPr>
        <w:u w:val="none"/>
      </w:rPr>
    </w:lvl>
  </w:abstractNum>
  <w:abstractNum w:abstractNumId="14" w15:restartNumberingAfterBreak="0">
    <w:nsid w:val="24283968"/>
    <w:multiLevelType w:val="hybridMultilevel"/>
    <w:tmpl w:val="1C100876"/>
    <w:lvl w:ilvl="0" w:tplc="022237E8">
      <w:start w:val="1"/>
      <w:numFmt w:val="bullet"/>
      <w:lvlText w:val="-"/>
      <w:lvlJc w:val="left"/>
      <w:pPr>
        <w:tabs>
          <w:tab w:val="left" w:pos="0"/>
        </w:tabs>
        <w:ind w:left="1440" w:hanging="360"/>
      </w:pPr>
      <w:rPr>
        <w:rFonts w:ascii="Calibri" w:hAnsi="Calibri" w:cs="Calibri" w:hint="default"/>
      </w:rPr>
    </w:lvl>
    <w:lvl w:ilvl="1" w:tplc="2708DAFE">
      <w:start w:val="1"/>
      <w:numFmt w:val="lowerLetter"/>
      <w:lvlText w:val="%2."/>
      <w:lvlJc w:val="left"/>
      <w:pPr>
        <w:tabs>
          <w:tab w:val="left" w:pos="0"/>
        </w:tabs>
        <w:ind w:left="2160" w:hanging="360"/>
      </w:pPr>
    </w:lvl>
    <w:lvl w:ilvl="2" w:tplc="F3EEA468">
      <w:start w:val="1"/>
      <w:numFmt w:val="lowerRoman"/>
      <w:lvlText w:val="%3."/>
      <w:lvlJc w:val="right"/>
      <w:pPr>
        <w:tabs>
          <w:tab w:val="left" w:pos="0"/>
        </w:tabs>
        <w:ind w:left="2880" w:hanging="180"/>
      </w:pPr>
    </w:lvl>
    <w:lvl w:ilvl="3" w:tplc="BFE2B472">
      <w:start w:val="1"/>
      <w:numFmt w:val="decimal"/>
      <w:lvlText w:val="%4."/>
      <w:lvlJc w:val="left"/>
      <w:pPr>
        <w:tabs>
          <w:tab w:val="left" w:pos="0"/>
        </w:tabs>
        <w:ind w:left="3600" w:hanging="360"/>
      </w:pPr>
    </w:lvl>
    <w:lvl w:ilvl="4" w:tplc="1F1CF054">
      <w:start w:val="1"/>
      <w:numFmt w:val="lowerLetter"/>
      <w:lvlText w:val="%5."/>
      <w:lvlJc w:val="left"/>
      <w:pPr>
        <w:tabs>
          <w:tab w:val="left" w:pos="0"/>
        </w:tabs>
        <w:ind w:left="4320" w:hanging="360"/>
      </w:pPr>
    </w:lvl>
    <w:lvl w:ilvl="5" w:tplc="44E8D7BA">
      <w:start w:val="1"/>
      <w:numFmt w:val="lowerRoman"/>
      <w:lvlText w:val="%6."/>
      <w:lvlJc w:val="right"/>
      <w:pPr>
        <w:tabs>
          <w:tab w:val="left" w:pos="0"/>
        </w:tabs>
        <w:ind w:left="5040" w:hanging="180"/>
      </w:pPr>
    </w:lvl>
    <w:lvl w:ilvl="6" w:tplc="BAA24BB8">
      <w:start w:val="1"/>
      <w:numFmt w:val="decimal"/>
      <w:lvlText w:val="%7."/>
      <w:lvlJc w:val="left"/>
      <w:pPr>
        <w:tabs>
          <w:tab w:val="left" w:pos="0"/>
        </w:tabs>
        <w:ind w:left="5760" w:hanging="360"/>
      </w:pPr>
    </w:lvl>
    <w:lvl w:ilvl="7" w:tplc="42FC197A">
      <w:start w:val="1"/>
      <w:numFmt w:val="lowerLetter"/>
      <w:lvlText w:val="%8."/>
      <w:lvlJc w:val="left"/>
      <w:pPr>
        <w:tabs>
          <w:tab w:val="left" w:pos="0"/>
        </w:tabs>
        <w:ind w:left="6480" w:hanging="360"/>
      </w:pPr>
    </w:lvl>
    <w:lvl w:ilvl="8" w:tplc="E338750C">
      <w:start w:val="1"/>
      <w:numFmt w:val="lowerRoman"/>
      <w:lvlText w:val="%9."/>
      <w:lvlJc w:val="right"/>
      <w:pPr>
        <w:tabs>
          <w:tab w:val="left" w:pos="0"/>
        </w:tabs>
        <w:ind w:left="7200" w:hanging="180"/>
      </w:pPr>
    </w:lvl>
  </w:abstractNum>
  <w:abstractNum w:abstractNumId="15" w15:restartNumberingAfterBreak="0">
    <w:nsid w:val="259B5AD8"/>
    <w:multiLevelType w:val="hybridMultilevel"/>
    <w:tmpl w:val="71728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D22C1F"/>
    <w:multiLevelType w:val="hybridMultilevel"/>
    <w:tmpl w:val="CCD81E6C"/>
    <w:lvl w:ilvl="0" w:tplc="87B8234C">
      <w:start w:val="1"/>
      <w:numFmt w:val="bullet"/>
      <w:lvlText w:val=""/>
      <w:lvlJc w:val="left"/>
      <w:pPr>
        <w:tabs>
          <w:tab w:val="left" w:pos="0"/>
        </w:tabs>
        <w:ind w:left="720" w:hanging="360"/>
      </w:pPr>
      <w:rPr>
        <w:rFonts w:ascii="Wingdings" w:hAnsi="Wingdings" w:cs="Wingdings" w:hint="default"/>
      </w:rPr>
    </w:lvl>
    <w:lvl w:ilvl="1" w:tplc="62BC4AE0">
      <w:start w:val="1"/>
      <w:numFmt w:val="bullet"/>
      <w:lvlText w:val="o"/>
      <w:lvlJc w:val="left"/>
      <w:pPr>
        <w:tabs>
          <w:tab w:val="left" w:pos="0"/>
        </w:tabs>
        <w:ind w:left="1440" w:hanging="360"/>
      </w:pPr>
      <w:rPr>
        <w:rFonts w:ascii="Courier New" w:hAnsi="Courier New" w:cs="Courier New" w:hint="default"/>
      </w:rPr>
    </w:lvl>
    <w:lvl w:ilvl="2" w:tplc="C46CDD20">
      <w:start w:val="1"/>
      <w:numFmt w:val="bullet"/>
      <w:lvlText w:val=""/>
      <w:lvlJc w:val="left"/>
      <w:pPr>
        <w:tabs>
          <w:tab w:val="left" w:pos="0"/>
        </w:tabs>
        <w:ind w:left="2160" w:hanging="360"/>
      </w:pPr>
      <w:rPr>
        <w:rFonts w:ascii="Wingdings" w:hAnsi="Wingdings" w:cs="Wingdings" w:hint="default"/>
      </w:rPr>
    </w:lvl>
    <w:lvl w:ilvl="3" w:tplc="AB00B3E6">
      <w:start w:val="1"/>
      <w:numFmt w:val="bullet"/>
      <w:lvlText w:val=""/>
      <w:lvlJc w:val="left"/>
      <w:pPr>
        <w:tabs>
          <w:tab w:val="left" w:pos="0"/>
        </w:tabs>
        <w:ind w:left="2880" w:hanging="360"/>
      </w:pPr>
      <w:rPr>
        <w:rFonts w:ascii="Symbol" w:hAnsi="Symbol" w:cs="Symbol" w:hint="default"/>
      </w:rPr>
    </w:lvl>
    <w:lvl w:ilvl="4" w:tplc="FAD8F12A">
      <w:start w:val="1"/>
      <w:numFmt w:val="bullet"/>
      <w:lvlText w:val="o"/>
      <w:lvlJc w:val="left"/>
      <w:pPr>
        <w:tabs>
          <w:tab w:val="left" w:pos="0"/>
        </w:tabs>
        <w:ind w:left="3600" w:hanging="360"/>
      </w:pPr>
      <w:rPr>
        <w:rFonts w:ascii="Courier New" w:hAnsi="Courier New" w:cs="Courier New" w:hint="default"/>
      </w:rPr>
    </w:lvl>
    <w:lvl w:ilvl="5" w:tplc="96C46A94">
      <w:start w:val="1"/>
      <w:numFmt w:val="bullet"/>
      <w:lvlText w:val=""/>
      <w:lvlJc w:val="left"/>
      <w:pPr>
        <w:tabs>
          <w:tab w:val="left" w:pos="0"/>
        </w:tabs>
        <w:ind w:left="4320" w:hanging="360"/>
      </w:pPr>
      <w:rPr>
        <w:rFonts w:ascii="Wingdings" w:hAnsi="Wingdings" w:cs="Wingdings" w:hint="default"/>
      </w:rPr>
    </w:lvl>
    <w:lvl w:ilvl="6" w:tplc="343E8B72">
      <w:start w:val="1"/>
      <w:numFmt w:val="bullet"/>
      <w:lvlText w:val=""/>
      <w:lvlJc w:val="left"/>
      <w:pPr>
        <w:tabs>
          <w:tab w:val="left" w:pos="0"/>
        </w:tabs>
        <w:ind w:left="5040" w:hanging="360"/>
      </w:pPr>
      <w:rPr>
        <w:rFonts w:ascii="Symbol" w:hAnsi="Symbol" w:cs="Symbol" w:hint="default"/>
      </w:rPr>
    </w:lvl>
    <w:lvl w:ilvl="7" w:tplc="11D22B06">
      <w:start w:val="1"/>
      <w:numFmt w:val="bullet"/>
      <w:lvlText w:val="o"/>
      <w:lvlJc w:val="left"/>
      <w:pPr>
        <w:tabs>
          <w:tab w:val="left" w:pos="0"/>
        </w:tabs>
        <w:ind w:left="5760" w:hanging="360"/>
      </w:pPr>
      <w:rPr>
        <w:rFonts w:ascii="Courier New" w:hAnsi="Courier New" w:cs="Courier New" w:hint="default"/>
      </w:rPr>
    </w:lvl>
    <w:lvl w:ilvl="8" w:tplc="F7AAD8E0">
      <w:start w:val="1"/>
      <w:numFmt w:val="bullet"/>
      <w:lvlText w:val=""/>
      <w:lvlJc w:val="left"/>
      <w:pPr>
        <w:tabs>
          <w:tab w:val="left" w:pos="0"/>
        </w:tabs>
        <w:ind w:left="6480" w:hanging="360"/>
      </w:pPr>
      <w:rPr>
        <w:rFonts w:ascii="Wingdings" w:hAnsi="Wingdings" w:cs="Wingdings" w:hint="default"/>
      </w:rPr>
    </w:lvl>
  </w:abstractNum>
  <w:abstractNum w:abstractNumId="17" w15:restartNumberingAfterBreak="0">
    <w:nsid w:val="26577FDF"/>
    <w:multiLevelType w:val="hybridMultilevel"/>
    <w:tmpl w:val="E572F9AE"/>
    <w:lvl w:ilvl="0" w:tplc="1AAA3DD6">
      <w:start w:val="1"/>
      <w:numFmt w:val="lowerLetter"/>
      <w:lvlText w:val="%1)"/>
      <w:lvlJc w:val="left"/>
      <w:pPr>
        <w:tabs>
          <w:tab w:val="left" w:pos="0"/>
        </w:tabs>
        <w:ind w:left="720" w:hanging="360"/>
      </w:pPr>
    </w:lvl>
    <w:lvl w:ilvl="1" w:tplc="96ACC532">
      <w:start w:val="1"/>
      <w:numFmt w:val="lowerLetter"/>
      <w:lvlText w:val="%2."/>
      <w:lvlJc w:val="left"/>
      <w:pPr>
        <w:tabs>
          <w:tab w:val="left" w:pos="0"/>
        </w:tabs>
        <w:ind w:left="1440" w:hanging="360"/>
      </w:pPr>
    </w:lvl>
    <w:lvl w:ilvl="2" w:tplc="A83C7F80">
      <w:start w:val="1"/>
      <w:numFmt w:val="lowerRoman"/>
      <w:lvlText w:val="%3."/>
      <w:lvlJc w:val="right"/>
      <w:pPr>
        <w:tabs>
          <w:tab w:val="left" w:pos="0"/>
        </w:tabs>
        <w:ind w:left="2160" w:hanging="180"/>
      </w:pPr>
    </w:lvl>
    <w:lvl w:ilvl="3" w:tplc="B270FE12">
      <w:start w:val="1"/>
      <w:numFmt w:val="decimal"/>
      <w:lvlText w:val="%4."/>
      <w:lvlJc w:val="left"/>
      <w:pPr>
        <w:tabs>
          <w:tab w:val="left" w:pos="0"/>
        </w:tabs>
        <w:ind w:left="2880" w:hanging="360"/>
      </w:pPr>
    </w:lvl>
    <w:lvl w:ilvl="4" w:tplc="89B435A8">
      <w:start w:val="1"/>
      <w:numFmt w:val="lowerLetter"/>
      <w:lvlText w:val="%5."/>
      <w:lvlJc w:val="left"/>
      <w:pPr>
        <w:tabs>
          <w:tab w:val="left" w:pos="0"/>
        </w:tabs>
        <w:ind w:left="3600" w:hanging="360"/>
      </w:pPr>
    </w:lvl>
    <w:lvl w:ilvl="5" w:tplc="E312DFC0">
      <w:start w:val="1"/>
      <w:numFmt w:val="lowerRoman"/>
      <w:lvlText w:val="%6."/>
      <w:lvlJc w:val="right"/>
      <w:pPr>
        <w:tabs>
          <w:tab w:val="left" w:pos="0"/>
        </w:tabs>
        <w:ind w:left="4320" w:hanging="180"/>
      </w:pPr>
    </w:lvl>
    <w:lvl w:ilvl="6" w:tplc="84264E78">
      <w:start w:val="1"/>
      <w:numFmt w:val="decimal"/>
      <w:lvlText w:val="%7."/>
      <w:lvlJc w:val="left"/>
      <w:pPr>
        <w:tabs>
          <w:tab w:val="left" w:pos="0"/>
        </w:tabs>
        <w:ind w:left="5040" w:hanging="360"/>
      </w:pPr>
    </w:lvl>
    <w:lvl w:ilvl="7" w:tplc="A2D8A8A0">
      <w:start w:val="1"/>
      <w:numFmt w:val="lowerLetter"/>
      <w:lvlText w:val="%8."/>
      <w:lvlJc w:val="left"/>
      <w:pPr>
        <w:tabs>
          <w:tab w:val="left" w:pos="0"/>
        </w:tabs>
        <w:ind w:left="5760" w:hanging="360"/>
      </w:pPr>
    </w:lvl>
    <w:lvl w:ilvl="8" w:tplc="794A7DAA">
      <w:start w:val="1"/>
      <w:numFmt w:val="lowerRoman"/>
      <w:lvlText w:val="%9."/>
      <w:lvlJc w:val="right"/>
      <w:pPr>
        <w:tabs>
          <w:tab w:val="left" w:pos="0"/>
        </w:tabs>
        <w:ind w:left="6480" w:hanging="180"/>
      </w:pPr>
    </w:lvl>
  </w:abstractNum>
  <w:abstractNum w:abstractNumId="18" w15:restartNumberingAfterBreak="0">
    <w:nsid w:val="28836BF2"/>
    <w:multiLevelType w:val="hybridMultilevel"/>
    <w:tmpl w:val="ABF4625E"/>
    <w:lvl w:ilvl="0" w:tplc="23142924">
      <w:start w:val="1"/>
      <w:numFmt w:val="upperLetter"/>
      <w:lvlText w:val="%1."/>
      <w:lvlJc w:val="left"/>
      <w:pPr>
        <w:tabs>
          <w:tab w:val="left" w:pos="0"/>
        </w:tabs>
        <w:ind w:left="720" w:hanging="360"/>
      </w:pPr>
      <w:rPr>
        <w:rFonts w:ascii="Calibri" w:eastAsia="Calibri" w:hAnsi="Calibri" w:cs="Calibri"/>
      </w:rPr>
    </w:lvl>
    <w:lvl w:ilvl="1" w:tplc="9E92B97A">
      <w:start w:val="1"/>
      <w:numFmt w:val="bullet"/>
      <w:lvlText w:val="o"/>
      <w:lvlJc w:val="left"/>
      <w:pPr>
        <w:tabs>
          <w:tab w:val="left" w:pos="0"/>
        </w:tabs>
        <w:ind w:left="1440" w:hanging="360"/>
      </w:pPr>
      <w:rPr>
        <w:rFonts w:ascii="Courier New" w:hAnsi="Courier New" w:cs="Courier New" w:hint="default"/>
      </w:rPr>
    </w:lvl>
    <w:lvl w:ilvl="2" w:tplc="30C0BCE8">
      <w:start w:val="1"/>
      <w:numFmt w:val="bullet"/>
      <w:lvlText w:val=""/>
      <w:lvlJc w:val="left"/>
      <w:pPr>
        <w:tabs>
          <w:tab w:val="left" w:pos="0"/>
        </w:tabs>
        <w:ind w:left="2160" w:hanging="360"/>
      </w:pPr>
      <w:rPr>
        <w:rFonts w:ascii="Wingdings" w:hAnsi="Wingdings" w:cs="Wingdings" w:hint="default"/>
      </w:rPr>
    </w:lvl>
    <w:lvl w:ilvl="3" w:tplc="C2DACD52">
      <w:start w:val="1"/>
      <w:numFmt w:val="bullet"/>
      <w:lvlText w:val=""/>
      <w:lvlJc w:val="left"/>
      <w:pPr>
        <w:tabs>
          <w:tab w:val="left" w:pos="0"/>
        </w:tabs>
        <w:ind w:left="2880" w:hanging="360"/>
      </w:pPr>
      <w:rPr>
        <w:rFonts w:ascii="Symbol" w:hAnsi="Symbol" w:cs="Symbol" w:hint="default"/>
      </w:rPr>
    </w:lvl>
    <w:lvl w:ilvl="4" w:tplc="6B3A00CC">
      <w:start w:val="1"/>
      <w:numFmt w:val="bullet"/>
      <w:lvlText w:val="o"/>
      <w:lvlJc w:val="left"/>
      <w:pPr>
        <w:tabs>
          <w:tab w:val="left" w:pos="0"/>
        </w:tabs>
        <w:ind w:left="3600" w:hanging="360"/>
      </w:pPr>
      <w:rPr>
        <w:rFonts w:ascii="Courier New" w:hAnsi="Courier New" w:cs="Courier New" w:hint="default"/>
      </w:rPr>
    </w:lvl>
    <w:lvl w:ilvl="5" w:tplc="D0140DA2">
      <w:start w:val="1"/>
      <w:numFmt w:val="bullet"/>
      <w:lvlText w:val=""/>
      <w:lvlJc w:val="left"/>
      <w:pPr>
        <w:tabs>
          <w:tab w:val="left" w:pos="0"/>
        </w:tabs>
        <w:ind w:left="4320" w:hanging="360"/>
      </w:pPr>
      <w:rPr>
        <w:rFonts w:ascii="Wingdings" w:hAnsi="Wingdings" w:cs="Wingdings" w:hint="default"/>
      </w:rPr>
    </w:lvl>
    <w:lvl w:ilvl="6" w:tplc="5566907C">
      <w:start w:val="1"/>
      <w:numFmt w:val="bullet"/>
      <w:lvlText w:val=""/>
      <w:lvlJc w:val="left"/>
      <w:pPr>
        <w:tabs>
          <w:tab w:val="left" w:pos="0"/>
        </w:tabs>
        <w:ind w:left="5040" w:hanging="360"/>
      </w:pPr>
      <w:rPr>
        <w:rFonts w:ascii="Symbol" w:hAnsi="Symbol" w:cs="Symbol" w:hint="default"/>
      </w:rPr>
    </w:lvl>
    <w:lvl w:ilvl="7" w:tplc="4C98B596">
      <w:start w:val="1"/>
      <w:numFmt w:val="bullet"/>
      <w:lvlText w:val="o"/>
      <w:lvlJc w:val="left"/>
      <w:pPr>
        <w:tabs>
          <w:tab w:val="left" w:pos="0"/>
        </w:tabs>
        <w:ind w:left="5760" w:hanging="360"/>
      </w:pPr>
      <w:rPr>
        <w:rFonts w:ascii="Courier New" w:hAnsi="Courier New" w:cs="Courier New" w:hint="default"/>
      </w:rPr>
    </w:lvl>
    <w:lvl w:ilvl="8" w:tplc="CA025F68">
      <w:start w:val="1"/>
      <w:numFmt w:val="bullet"/>
      <w:lvlText w:val=""/>
      <w:lvlJc w:val="left"/>
      <w:pPr>
        <w:tabs>
          <w:tab w:val="left" w:pos="0"/>
        </w:tabs>
        <w:ind w:left="6480" w:hanging="360"/>
      </w:pPr>
      <w:rPr>
        <w:rFonts w:ascii="Wingdings" w:hAnsi="Wingdings" w:cs="Wingdings" w:hint="default"/>
      </w:rPr>
    </w:lvl>
  </w:abstractNum>
  <w:abstractNum w:abstractNumId="19" w15:restartNumberingAfterBreak="0">
    <w:nsid w:val="29B23DDB"/>
    <w:multiLevelType w:val="hybridMultilevel"/>
    <w:tmpl w:val="8190ED22"/>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2"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3" w15:restartNumberingAfterBreak="0">
    <w:nsid w:val="31984339"/>
    <w:multiLevelType w:val="multilevel"/>
    <w:tmpl w:val="E0826D9E"/>
    <w:lvl w:ilvl="0">
      <w:start w:val="5"/>
      <w:numFmt w:val="decimal"/>
      <w:lvlText w:val="%1"/>
      <w:lvlJc w:val="left"/>
      <w:pPr>
        <w:tabs>
          <w:tab w:val="num" w:pos="0"/>
        </w:tabs>
        <w:ind w:left="432" w:hanging="432"/>
      </w:pPr>
      <w:rPr>
        <w:rFonts w:hint="default"/>
      </w:rPr>
    </w:lvl>
    <w:lvl w:ilvl="1">
      <w:start w:val="5"/>
      <w:numFmt w:val="decimal"/>
      <w:lvlText w:val="%1.%2"/>
      <w:lvlJc w:val="left"/>
      <w:pPr>
        <w:tabs>
          <w:tab w:val="num" w:pos="360"/>
        </w:tabs>
        <w:ind w:left="936"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35646F17"/>
    <w:multiLevelType w:val="hybridMultilevel"/>
    <w:tmpl w:val="DBD6357C"/>
    <w:lvl w:ilvl="0" w:tplc="952A0C3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6047ECB"/>
    <w:multiLevelType w:val="hybridMultilevel"/>
    <w:tmpl w:val="1DE89A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8" w15:restartNumberingAfterBreak="0">
    <w:nsid w:val="40C226D7"/>
    <w:multiLevelType w:val="hybridMultilevel"/>
    <w:tmpl w:val="6B681524"/>
    <w:lvl w:ilvl="0" w:tplc="6B24A3EA">
      <w:start w:val="1"/>
      <w:numFmt w:val="lowerLetter"/>
      <w:lvlText w:val="%1)"/>
      <w:lvlJc w:val="left"/>
      <w:pPr>
        <w:ind w:left="720" w:hanging="360"/>
      </w:pPr>
      <w:rPr>
        <w:b/>
      </w:rPr>
    </w:lvl>
    <w:lvl w:ilvl="1" w:tplc="F82A141E">
      <w:start w:val="1"/>
      <w:numFmt w:val="lowerLetter"/>
      <w:lvlText w:val="%2."/>
      <w:lvlJc w:val="left"/>
      <w:pPr>
        <w:ind w:left="1440" w:hanging="360"/>
      </w:pPr>
    </w:lvl>
    <w:lvl w:ilvl="2" w:tplc="0C4C11AE">
      <w:start w:val="1"/>
      <w:numFmt w:val="lowerRoman"/>
      <w:lvlText w:val="%3."/>
      <w:lvlJc w:val="right"/>
      <w:pPr>
        <w:ind w:left="2160" w:hanging="180"/>
      </w:pPr>
    </w:lvl>
    <w:lvl w:ilvl="3" w:tplc="C4F479BE">
      <w:start w:val="1"/>
      <w:numFmt w:val="decimal"/>
      <w:lvlText w:val="%4."/>
      <w:lvlJc w:val="left"/>
      <w:pPr>
        <w:ind w:left="2880" w:hanging="360"/>
      </w:pPr>
    </w:lvl>
    <w:lvl w:ilvl="4" w:tplc="E82C5D36">
      <w:start w:val="1"/>
      <w:numFmt w:val="lowerLetter"/>
      <w:lvlText w:val="%5."/>
      <w:lvlJc w:val="left"/>
      <w:pPr>
        <w:ind w:left="3600" w:hanging="360"/>
      </w:pPr>
    </w:lvl>
    <w:lvl w:ilvl="5" w:tplc="7DCA4124">
      <w:start w:val="1"/>
      <w:numFmt w:val="lowerRoman"/>
      <w:lvlText w:val="%6."/>
      <w:lvlJc w:val="right"/>
      <w:pPr>
        <w:ind w:left="4320" w:hanging="180"/>
      </w:pPr>
    </w:lvl>
    <w:lvl w:ilvl="6" w:tplc="82C40944">
      <w:start w:val="1"/>
      <w:numFmt w:val="decimal"/>
      <w:lvlText w:val="%7."/>
      <w:lvlJc w:val="left"/>
      <w:pPr>
        <w:ind w:left="5040" w:hanging="360"/>
      </w:pPr>
    </w:lvl>
    <w:lvl w:ilvl="7" w:tplc="D0C0FEB8">
      <w:start w:val="1"/>
      <w:numFmt w:val="lowerLetter"/>
      <w:lvlText w:val="%8."/>
      <w:lvlJc w:val="left"/>
      <w:pPr>
        <w:ind w:left="5760" w:hanging="360"/>
      </w:pPr>
    </w:lvl>
    <w:lvl w:ilvl="8" w:tplc="98CC3FB4">
      <w:start w:val="1"/>
      <w:numFmt w:val="lowerRoman"/>
      <w:lvlText w:val="%9."/>
      <w:lvlJc w:val="right"/>
      <w:pPr>
        <w:ind w:left="6480" w:hanging="180"/>
      </w:pPr>
    </w:lvl>
  </w:abstractNum>
  <w:abstractNum w:abstractNumId="29" w15:restartNumberingAfterBreak="0">
    <w:nsid w:val="43111493"/>
    <w:multiLevelType w:val="hybridMultilevel"/>
    <w:tmpl w:val="1D5EFC42"/>
    <w:lvl w:ilvl="0" w:tplc="3C66A81A">
      <w:start w:val="1"/>
      <w:numFmt w:val="bullet"/>
      <w:lvlText w:val=""/>
      <w:lvlJc w:val="left"/>
      <w:pPr>
        <w:ind w:left="720" w:hanging="360"/>
      </w:pPr>
      <w:rPr>
        <w:rFonts w:ascii="Symbol" w:hAnsi="Symbol" w:hint="default"/>
      </w:rPr>
    </w:lvl>
    <w:lvl w:ilvl="1" w:tplc="A1D8665E">
      <w:start w:val="1"/>
      <w:numFmt w:val="bullet"/>
      <w:lvlText w:val="o"/>
      <w:lvlJc w:val="left"/>
      <w:pPr>
        <w:ind w:left="1440" w:hanging="360"/>
      </w:pPr>
      <w:rPr>
        <w:rFonts w:ascii="Courier New" w:hAnsi="Courier New" w:cs="Courier New" w:hint="default"/>
      </w:rPr>
    </w:lvl>
    <w:lvl w:ilvl="2" w:tplc="C4E06F66">
      <w:start w:val="1"/>
      <w:numFmt w:val="bullet"/>
      <w:lvlText w:val=""/>
      <w:lvlJc w:val="left"/>
      <w:pPr>
        <w:ind w:left="2160" w:hanging="360"/>
      </w:pPr>
      <w:rPr>
        <w:rFonts w:ascii="Wingdings" w:hAnsi="Wingdings" w:hint="default"/>
      </w:rPr>
    </w:lvl>
    <w:lvl w:ilvl="3" w:tplc="F8348756">
      <w:start w:val="1"/>
      <w:numFmt w:val="bullet"/>
      <w:lvlText w:val=""/>
      <w:lvlJc w:val="left"/>
      <w:pPr>
        <w:ind w:left="2880" w:hanging="360"/>
      </w:pPr>
      <w:rPr>
        <w:rFonts w:ascii="Symbol" w:hAnsi="Symbol" w:hint="default"/>
      </w:rPr>
    </w:lvl>
    <w:lvl w:ilvl="4" w:tplc="7D34D5E0">
      <w:start w:val="1"/>
      <w:numFmt w:val="bullet"/>
      <w:lvlText w:val="o"/>
      <w:lvlJc w:val="left"/>
      <w:pPr>
        <w:ind w:left="3600" w:hanging="360"/>
      </w:pPr>
      <w:rPr>
        <w:rFonts w:ascii="Courier New" w:hAnsi="Courier New" w:cs="Courier New" w:hint="default"/>
      </w:rPr>
    </w:lvl>
    <w:lvl w:ilvl="5" w:tplc="7286DF2E">
      <w:start w:val="1"/>
      <w:numFmt w:val="bullet"/>
      <w:lvlText w:val=""/>
      <w:lvlJc w:val="left"/>
      <w:pPr>
        <w:ind w:left="4320" w:hanging="360"/>
      </w:pPr>
      <w:rPr>
        <w:rFonts w:ascii="Wingdings" w:hAnsi="Wingdings" w:hint="default"/>
      </w:rPr>
    </w:lvl>
    <w:lvl w:ilvl="6" w:tplc="9E5CC4FE">
      <w:start w:val="1"/>
      <w:numFmt w:val="bullet"/>
      <w:lvlText w:val=""/>
      <w:lvlJc w:val="left"/>
      <w:pPr>
        <w:ind w:left="5040" w:hanging="360"/>
      </w:pPr>
      <w:rPr>
        <w:rFonts w:ascii="Symbol" w:hAnsi="Symbol" w:hint="default"/>
      </w:rPr>
    </w:lvl>
    <w:lvl w:ilvl="7" w:tplc="CBFC0E20">
      <w:start w:val="1"/>
      <w:numFmt w:val="bullet"/>
      <w:lvlText w:val="o"/>
      <w:lvlJc w:val="left"/>
      <w:pPr>
        <w:ind w:left="5760" w:hanging="360"/>
      </w:pPr>
      <w:rPr>
        <w:rFonts w:ascii="Courier New" w:hAnsi="Courier New" w:cs="Courier New" w:hint="default"/>
      </w:rPr>
    </w:lvl>
    <w:lvl w:ilvl="8" w:tplc="434C0544">
      <w:start w:val="1"/>
      <w:numFmt w:val="bullet"/>
      <w:lvlText w:val=""/>
      <w:lvlJc w:val="left"/>
      <w:pPr>
        <w:ind w:left="6480" w:hanging="360"/>
      </w:pPr>
      <w:rPr>
        <w:rFonts w:ascii="Wingdings" w:hAnsi="Wingdings" w:hint="default"/>
      </w:rPr>
    </w:lvl>
  </w:abstractNum>
  <w:abstractNum w:abstractNumId="30" w15:restartNumberingAfterBreak="0">
    <w:nsid w:val="44860EE1"/>
    <w:multiLevelType w:val="hybridMultilevel"/>
    <w:tmpl w:val="237A7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6631596"/>
    <w:multiLevelType w:val="hybridMultilevel"/>
    <w:tmpl w:val="FACC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030636"/>
    <w:multiLevelType w:val="hybridMultilevel"/>
    <w:tmpl w:val="667C111E"/>
    <w:lvl w:ilvl="0" w:tplc="04090001">
      <w:start w:val="1"/>
      <w:numFmt w:val="bullet"/>
      <w:lvlText w:val=""/>
      <w:lvlJc w:val="left"/>
      <w:pPr>
        <w:ind w:left="720" w:hanging="360"/>
      </w:pPr>
      <w:rPr>
        <w:rFonts w:ascii="Symbol" w:hAnsi="Symbol" w:hint="default"/>
      </w:rPr>
    </w:lvl>
    <w:lvl w:ilvl="1" w:tplc="C47C562C">
      <w:start w:val="1"/>
      <w:numFmt w:val="bullet"/>
      <w:lvlText w:val="o"/>
      <w:lvlJc w:val="left"/>
      <w:pPr>
        <w:ind w:left="1440" w:hanging="360"/>
      </w:pPr>
      <w:rPr>
        <w:rFonts w:ascii="Courier New" w:hAnsi="Courier New" w:cs="Courier New" w:hint="default"/>
      </w:rPr>
    </w:lvl>
    <w:lvl w:ilvl="2" w:tplc="4920D3A8">
      <w:start w:val="1"/>
      <w:numFmt w:val="bullet"/>
      <w:lvlText w:val=""/>
      <w:lvlJc w:val="left"/>
      <w:pPr>
        <w:ind w:left="2160" w:hanging="360"/>
      </w:pPr>
      <w:rPr>
        <w:rFonts w:ascii="Wingdings" w:hAnsi="Wingdings" w:hint="default"/>
      </w:rPr>
    </w:lvl>
    <w:lvl w:ilvl="3" w:tplc="77E619F6">
      <w:start w:val="1"/>
      <w:numFmt w:val="bullet"/>
      <w:lvlText w:val=""/>
      <w:lvlJc w:val="left"/>
      <w:pPr>
        <w:ind w:left="2880" w:hanging="360"/>
      </w:pPr>
      <w:rPr>
        <w:rFonts w:ascii="Symbol" w:hAnsi="Symbol" w:hint="default"/>
      </w:rPr>
    </w:lvl>
    <w:lvl w:ilvl="4" w:tplc="63808DBA">
      <w:start w:val="1"/>
      <w:numFmt w:val="bullet"/>
      <w:lvlText w:val="o"/>
      <w:lvlJc w:val="left"/>
      <w:pPr>
        <w:ind w:left="3600" w:hanging="360"/>
      </w:pPr>
      <w:rPr>
        <w:rFonts w:ascii="Courier New" w:hAnsi="Courier New" w:cs="Courier New" w:hint="default"/>
      </w:rPr>
    </w:lvl>
    <w:lvl w:ilvl="5" w:tplc="A42CDB2C">
      <w:start w:val="1"/>
      <w:numFmt w:val="bullet"/>
      <w:lvlText w:val=""/>
      <w:lvlJc w:val="left"/>
      <w:pPr>
        <w:ind w:left="4320" w:hanging="360"/>
      </w:pPr>
      <w:rPr>
        <w:rFonts w:ascii="Wingdings" w:hAnsi="Wingdings" w:hint="default"/>
      </w:rPr>
    </w:lvl>
    <w:lvl w:ilvl="6" w:tplc="D78814DA">
      <w:start w:val="1"/>
      <w:numFmt w:val="bullet"/>
      <w:lvlText w:val=""/>
      <w:lvlJc w:val="left"/>
      <w:pPr>
        <w:ind w:left="5040" w:hanging="360"/>
      </w:pPr>
      <w:rPr>
        <w:rFonts w:ascii="Symbol" w:hAnsi="Symbol" w:hint="default"/>
      </w:rPr>
    </w:lvl>
    <w:lvl w:ilvl="7" w:tplc="5556437C">
      <w:start w:val="1"/>
      <w:numFmt w:val="bullet"/>
      <w:lvlText w:val="o"/>
      <w:lvlJc w:val="left"/>
      <w:pPr>
        <w:ind w:left="5760" w:hanging="360"/>
      </w:pPr>
      <w:rPr>
        <w:rFonts w:ascii="Courier New" w:hAnsi="Courier New" w:cs="Courier New" w:hint="default"/>
      </w:rPr>
    </w:lvl>
    <w:lvl w:ilvl="8" w:tplc="4E0CB6FA">
      <w:start w:val="1"/>
      <w:numFmt w:val="bullet"/>
      <w:lvlText w:val=""/>
      <w:lvlJc w:val="left"/>
      <w:pPr>
        <w:ind w:left="6480" w:hanging="360"/>
      </w:pPr>
      <w:rPr>
        <w:rFonts w:ascii="Wingdings" w:hAnsi="Wingdings" w:hint="default"/>
      </w:rPr>
    </w:lvl>
  </w:abstractNum>
  <w:abstractNum w:abstractNumId="33" w15:restartNumberingAfterBreak="0">
    <w:nsid w:val="4E8A3BC3"/>
    <w:multiLevelType w:val="hybridMultilevel"/>
    <w:tmpl w:val="CBCE2C9C"/>
    <w:lvl w:ilvl="0" w:tplc="C4688240">
      <w:start w:val="1"/>
      <w:numFmt w:val="upperLetter"/>
      <w:lvlText w:val="%1."/>
      <w:lvlJc w:val="left"/>
      <w:pPr>
        <w:ind w:left="360" w:hanging="360"/>
      </w:pPr>
    </w:lvl>
    <w:lvl w:ilvl="1" w:tplc="6B9CA972">
      <w:start w:val="1"/>
      <w:numFmt w:val="lowerLetter"/>
      <w:lvlText w:val="%2."/>
      <w:lvlJc w:val="left"/>
      <w:pPr>
        <w:ind w:left="1080" w:hanging="360"/>
      </w:pPr>
    </w:lvl>
    <w:lvl w:ilvl="2" w:tplc="1A3239A2">
      <w:start w:val="1"/>
      <w:numFmt w:val="lowerRoman"/>
      <w:lvlText w:val="%3."/>
      <w:lvlJc w:val="right"/>
      <w:pPr>
        <w:ind w:left="1800" w:hanging="180"/>
      </w:pPr>
    </w:lvl>
    <w:lvl w:ilvl="3" w:tplc="7FB4822A">
      <w:start w:val="1"/>
      <w:numFmt w:val="decimal"/>
      <w:lvlText w:val="%4."/>
      <w:lvlJc w:val="left"/>
      <w:pPr>
        <w:ind w:left="2520" w:hanging="360"/>
      </w:pPr>
    </w:lvl>
    <w:lvl w:ilvl="4" w:tplc="E65050DC">
      <w:start w:val="1"/>
      <w:numFmt w:val="lowerLetter"/>
      <w:lvlText w:val="%5."/>
      <w:lvlJc w:val="left"/>
      <w:pPr>
        <w:ind w:left="3240" w:hanging="360"/>
      </w:pPr>
    </w:lvl>
    <w:lvl w:ilvl="5" w:tplc="76424DB6">
      <w:start w:val="1"/>
      <w:numFmt w:val="lowerRoman"/>
      <w:lvlText w:val="%6."/>
      <w:lvlJc w:val="right"/>
      <w:pPr>
        <w:ind w:left="3960" w:hanging="180"/>
      </w:pPr>
    </w:lvl>
    <w:lvl w:ilvl="6" w:tplc="9970F69E">
      <w:start w:val="1"/>
      <w:numFmt w:val="decimal"/>
      <w:lvlText w:val="%7."/>
      <w:lvlJc w:val="left"/>
      <w:pPr>
        <w:ind w:left="4680" w:hanging="360"/>
      </w:pPr>
    </w:lvl>
    <w:lvl w:ilvl="7" w:tplc="D5327AE0">
      <w:start w:val="1"/>
      <w:numFmt w:val="lowerLetter"/>
      <w:lvlText w:val="%8."/>
      <w:lvlJc w:val="left"/>
      <w:pPr>
        <w:ind w:left="5400" w:hanging="360"/>
      </w:pPr>
    </w:lvl>
    <w:lvl w:ilvl="8" w:tplc="83CA7FE4">
      <w:start w:val="1"/>
      <w:numFmt w:val="lowerRoman"/>
      <w:lvlText w:val="%9."/>
      <w:lvlJc w:val="right"/>
      <w:pPr>
        <w:ind w:left="6120" w:hanging="180"/>
      </w:pPr>
    </w:lvl>
  </w:abstractNum>
  <w:abstractNum w:abstractNumId="34" w15:restartNumberingAfterBreak="0">
    <w:nsid w:val="5076162D"/>
    <w:multiLevelType w:val="multilevel"/>
    <w:tmpl w:val="FBF6CC6A"/>
    <w:lvl w:ilvl="0">
      <w:start w:val="8"/>
      <w:numFmt w:val="decimal"/>
      <w:lvlText w:val="%1"/>
      <w:lvlJc w:val="left"/>
      <w:pPr>
        <w:tabs>
          <w:tab w:val="left" w:pos="0"/>
        </w:tabs>
        <w:ind w:left="516" w:hanging="516"/>
      </w:pPr>
    </w:lvl>
    <w:lvl w:ilvl="1">
      <w:start w:val="4"/>
      <w:numFmt w:val="decimal"/>
      <w:lvlText w:val="%1.%2"/>
      <w:lvlJc w:val="left"/>
      <w:pPr>
        <w:tabs>
          <w:tab w:val="left" w:pos="0"/>
        </w:tabs>
        <w:ind w:left="516" w:hanging="516"/>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720" w:hanging="72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080" w:hanging="108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800" w:hanging="1800"/>
      </w:pPr>
    </w:lvl>
  </w:abstractNum>
  <w:abstractNum w:abstractNumId="35" w15:restartNumberingAfterBreak="0">
    <w:nsid w:val="52E863C5"/>
    <w:multiLevelType w:val="hybridMultilevel"/>
    <w:tmpl w:val="9A38FB00"/>
    <w:lvl w:ilvl="0" w:tplc="DF88F490">
      <w:start w:val="1"/>
      <w:numFmt w:val="lowerLetter"/>
      <w:lvlText w:val="%1."/>
      <w:lvlJc w:val="left"/>
      <w:pPr>
        <w:tabs>
          <w:tab w:val="left" w:pos="0"/>
        </w:tabs>
        <w:ind w:left="2250" w:hanging="360"/>
      </w:pPr>
    </w:lvl>
    <w:lvl w:ilvl="1" w:tplc="E29CF9BE">
      <w:start w:val="1"/>
      <w:numFmt w:val="lowerLetter"/>
      <w:lvlText w:val="%2."/>
      <w:lvlJc w:val="left"/>
      <w:pPr>
        <w:tabs>
          <w:tab w:val="left" w:pos="0"/>
        </w:tabs>
        <w:ind w:left="2970" w:hanging="360"/>
      </w:pPr>
    </w:lvl>
    <w:lvl w:ilvl="2" w:tplc="83805576">
      <w:start w:val="1"/>
      <w:numFmt w:val="lowerRoman"/>
      <w:lvlText w:val="%3."/>
      <w:lvlJc w:val="right"/>
      <w:pPr>
        <w:tabs>
          <w:tab w:val="left" w:pos="0"/>
        </w:tabs>
        <w:ind w:left="3690" w:hanging="180"/>
      </w:pPr>
    </w:lvl>
    <w:lvl w:ilvl="3" w:tplc="F7203826">
      <w:start w:val="1"/>
      <w:numFmt w:val="decimal"/>
      <w:lvlText w:val="%4."/>
      <w:lvlJc w:val="left"/>
      <w:pPr>
        <w:tabs>
          <w:tab w:val="left" w:pos="0"/>
        </w:tabs>
        <w:ind w:left="4410" w:hanging="360"/>
      </w:pPr>
    </w:lvl>
    <w:lvl w:ilvl="4" w:tplc="8C88B5E4">
      <w:start w:val="1"/>
      <w:numFmt w:val="lowerLetter"/>
      <w:lvlText w:val="%5."/>
      <w:lvlJc w:val="left"/>
      <w:pPr>
        <w:tabs>
          <w:tab w:val="left" w:pos="0"/>
        </w:tabs>
        <w:ind w:left="5130" w:hanging="360"/>
      </w:pPr>
    </w:lvl>
    <w:lvl w:ilvl="5" w:tplc="863ADE00">
      <w:start w:val="1"/>
      <w:numFmt w:val="lowerRoman"/>
      <w:lvlText w:val="%6."/>
      <w:lvlJc w:val="right"/>
      <w:pPr>
        <w:tabs>
          <w:tab w:val="left" w:pos="0"/>
        </w:tabs>
        <w:ind w:left="5850" w:hanging="180"/>
      </w:pPr>
    </w:lvl>
    <w:lvl w:ilvl="6" w:tplc="3410CEFC">
      <w:start w:val="1"/>
      <w:numFmt w:val="decimal"/>
      <w:lvlText w:val="%7."/>
      <w:lvlJc w:val="left"/>
      <w:pPr>
        <w:tabs>
          <w:tab w:val="left" w:pos="0"/>
        </w:tabs>
        <w:ind w:left="6570" w:hanging="360"/>
      </w:pPr>
    </w:lvl>
    <w:lvl w:ilvl="7" w:tplc="2446FA32">
      <w:start w:val="1"/>
      <w:numFmt w:val="lowerLetter"/>
      <w:lvlText w:val="%8."/>
      <w:lvlJc w:val="left"/>
      <w:pPr>
        <w:tabs>
          <w:tab w:val="left" w:pos="0"/>
        </w:tabs>
        <w:ind w:left="7290" w:hanging="360"/>
      </w:pPr>
    </w:lvl>
    <w:lvl w:ilvl="8" w:tplc="157A5DAE">
      <w:start w:val="1"/>
      <w:numFmt w:val="lowerRoman"/>
      <w:lvlText w:val="%9."/>
      <w:lvlJc w:val="right"/>
      <w:pPr>
        <w:tabs>
          <w:tab w:val="left" w:pos="0"/>
        </w:tabs>
        <w:ind w:left="8010" w:hanging="180"/>
      </w:pPr>
    </w:lvl>
  </w:abstractNum>
  <w:abstractNum w:abstractNumId="36" w15:restartNumberingAfterBreak="0">
    <w:nsid w:val="535F36A2"/>
    <w:multiLevelType w:val="hybridMultilevel"/>
    <w:tmpl w:val="2A8A703E"/>
    <w:lvl w:ilvl="0" w:tplc="60D8CEAA">
      <w:start w:val="1"/>
      <w:numFmt w:val="lowerLetter"/>
      <w:lvlText w:val="%1)"/>
      <w:lvlJc w:val="left"/>
      <w:pPr>
        <w:ind w:left="720" w:hanging="360"/>
      </w:pPr>
      <w:rPr>
        <w:b/>
      </w:rPr>
    </w:lvl>
    <w:lvl w:ilvl="1" w:tplc="EECCCA26">
      <w:start w:val="1"/>
      <w:numFmt w:val="lowerLetter"/>
      <w:lvlText w:val="%2."/>
      <w:lvlJc w:val="left"/>
      <w:pPr>
        <w:ind w:left="1440" w:hanging="360"/>
      </w:pPr>
    </w:lvl>
    <w:lvl w:ilvl="2" w:tplc="AB6495DC">
      <w:start w:val="1"/>
      <w:numFmt w:val="lowerRoman"/>
      <w:lvlText w:val="%3."/>
      <w:lvlJc w:val="right"/>
      <w:pPr>
        <w:ind w:left="2160" w:hanging="180"/>
      </w:pPr>
    </w:lvl>
    <w:lvl w:ilvl="3" w:tplc="A3B4CD48">
      <w:start w:val="1"/>
      <w:numFmt w:val="decimal"/>
      <w:lvlText w:val="%4."/>
      <w:lvlJc w:val="left"/>
      <w:pPr>
        <w:ind w:left="2880" w:hanging="360"/>
      </w:pPr>
    </w:lvl>
    <w:lvl w:ilvl="4" w:tplc="C4FEE2FE">
      <w:start w:val="1"/>
      <w:numFmt w:val="lowerLetter"/>
      <w:lvlText w:val="%5."/>
      <w:lvlJc w:val="left"/>
      <w:pPr>
        <w:ind w:left="3600" w:hanging="360"/>
      </w:pPr>
    </w:lvl>
    <w:lvl w:ilvl="5" w:tplc="AA14594C">
      <w:start w:val="1"/>
      <w:numFmt w:val="lowerRoman"/>
      <w:lvlText w:val="%6."/>
      <w:lvlJc w:val="right"/>
      <w:pPr>
        <w:ind w:left="4320" w:hanging="180"/>
      </w:pPr>
    </w:lvl>
    <w:lvl w:ilvl="6" w:tplc="1E4CC7E6">
      <w:start w:val="1"/>
      <w:numFmt w:val="decimal"/>
      <w:lvlText w:val="%7."/>
      <w:lvlJc w:val="left"/>
      <w:pPr>
        <w:ind w:left="5040" w:hanging="360"/>
      </w:pPr>
    </w:lvl>
    <w:lvl w:ilvl="7" w:tplc="5E6A6EB6">
      <w:start w:val="1"/>
      <w:numFmt w:val="lowerLetter"/>
      <w:lvlText w:val="%8."/>
      <w:lvlJc w:val="left"/>
      <w:pPr>
        <w:ind w:left="5760" w:hanging="360"/>
      </w:pPr>
    </w:lvl>
    <w:lvl w:ilvl="8" w:tplc="9DB2333C">
      <w:start w:val="1"/>
      <w:numFmt w:val="lowerRoman"/>
      <w:lvlText w:val="%9."/>
      <w:lvlJc w:val="right"/>
      <w:pPr>
        <w:ind w:left="6480" w:hanging="180"/>
      </w:pPr>
    </w:lvl>
  </w:abstractNum>
  <w:abstractNum w:abstractNumId="37" w15:restartNumberingAfterBreak="0">
    <w:nsid w:val="53B33A07"/>
    <w:multiLevelType w:val="hybridMultilevel"/>
    <w:tmpl w:val="D916C106"/>
    <w:lvl w:ilvl="0" w:tplc="8200CCAC">
      <w:start w:val="1"/>
      <w:numFmt w:val="decimal"/>
      <w:lvlText w:val="%1)"/>
      <w:lvlJc w:val="left"/>
      <w:pPr>
        <w:tabs>
          <w:tab w:val="left" w:pos="0"/>
        </w:tabs>
        <w:ind w:left="720" w:hanging="360"/>
      </w:pPr>
    </w:lvl>
    <w:lvl w:ilvl="1" w:tplc="890C0BB2">
      <w:start w:val="1"/>
      <w:numFmt w:val="lowerLetter"/>
      <w:lvlText w:val="%2."/>
      <w:lvlJc w:val="left"/>
      <w:pPr>
        <w:tabs>
          <w:tab w:val="left" w:pos="0"/>
        </w:tabs>
        <w:ind w:left="1440" w:hanging="360"/>
      </w:pPr>
    </w:lvl>
    <w:lvl w:ilvl="2" w:tplc="11BCBACA">
      <w:start w:val="1"/>
      <w:numFmt w:val="lowerRoman"/>
      <w:lvlText w:val="%3."/>
      <w:lvlJc w:val="right"/>
      <w:pPr>
        <w:tabs>
          <w:tab w:val="left" w:pos="0"/>
        </w:tabs>
        <w:ind w:left="2160" w:hanging="180"/>
      </w:pPr>
    </w:lvl>
    <w:lvl w:ilvl="3" w:tplc="5C26B6E2">
      <w:start w:val="1"/>
      <w:numFmt w:val="decimal"/>
      <w:lvlText w:val="%4."/>
      <w:lvlJc w:val="left"/>
      <w:pPr>
        <w:tabs>
          <w:tab w:val="left" w:pos="0"/>
        </w:tabs>
        <w:ind w:left="2880" w:hanging="360"/>
      </w:pPr>
    </w:lvl>
    <w:lvl w:ilvl="4" w:tplc="85C6A40A">
      <w:start w:val="1"/>
      <w:numFmt w:val="lowerLetter"/>
      <w:lvlText w:val="%5."/>
      <w:lvlJc w:val="left"/>
      <w:pPr>
        <w:tabs>
          <w:tab w:val="left" w:pos="0"/>
        </w:tabs>
        <w:ind w:left="3600" w:hanging="360"/>
      </w:pPr>
    </w:lvl>
    <w:lvl w:ilvl="5" w:tplc="C4603CBA">
      <w:start w:val="1"/>
      <w:numFmt w:val="lowerRoman"/>
      <w:lvlText w:val="%6."/>
      <w:lvlJc w:val="right"/>
      <w:pPr>
        <w:tabs>
          <w:tab w:val="left" w:pos="0"/>
        </w:tabs>
        <w:ind w:left="4320" w:hanging="180"/>
      </w:pPr>
    </w:lvl>
    <w:lvl w:ilvl="6" w:tplc="156AEE4C">
      <w:start w:val="1"/>
      <w:numFmt w:val="decimal"/>
      <w:lvlText w:val="%7."/>
      <w:lvlJc w:val="left"/>
      <w:pPr>
        <w:tabs>
          <w:tab w:val="left" w:pos="0"/>
        </w:tabs>
        <w:ind w:left="5040" w:hanging="360"/>
      </w:pPr>
    </w:lvl>
    <w:lvl w:ilvl="7" w:tplc="68BECD3E">
      <w:start w:val="1"/>
      <w:numFmt w:val="lowerLetter"/>
      <w:lvlText w:val="%8."/>
      <w:lvlJc w:val="left"/>
      <w:pPr>
        <w:tabs>
          <w:tab w:val="left" w:pos="0"/>
        </w:tabs>
        <w:ind w:left="5760" w:hanging="360"/>
      </w:pPr>
    </w:lvl>
    <w:lvl w:ilvl="8" w:tplc="450E880C">
      <w:start w:val="1"/>
      <w:numFmt w:val="lowerRoman"/>
      <w:lvlText w:val="%9."/>
      <w:lvlJc w:val="right"/>
      <w:pPr>
        <w:tabs>
          <w:tab w:val="left" w:pos="0"/>
        </w:tabs>
        <w:ind w:left="6480" w:hanging="180"/>
      </w:pPr>
    </w:lvl>
  </w:abstractNum>
  <w:abstractNum w:abstractNumId="38" w15:restartNumberingAfterBreak="0">
    <w:nsid w:val="53F945E1"/>
    <w:multiLevelType w:val="hybridMultilevel"/>
    <w:tmpl w:val="0D689658"/>
    <w:lvl w:ilvl="0" w:tplc="15DAA07A">
      <w:start w:val="1"/>
      <w:numFmt w:val="lowerLetter"/>
      <w:lvlText w:val="%1)"/>
      <w:lvlJc w:val="left"/>
      <w:pPr>
        <w:tabs>
          <w:tab w:val="left" w:pos="0"/>
        </w:tabs>
        <w:ind w:left="1440" w:hanging="360"/>
      </w:pPr>
    </w:lvl>
    <w:lvl w:ilvl="1" w:tplc="EC6A4E76">
      <w:start w:val="1"/>
      <w:numFmt w:val="lowerLetter"/>
      <w:lvlText w:val="%2."/>
      <w:lvlJc w:val="left"/>
      <w:pPr>
        <w:tabs>
          <w:tab w:val="left" w:pos="0"/>
        </w:tabs>
        <w:ind w:left="2160" w:hanging="360"/>
      </w:pPr>
    </w:lvl>
    <w:lvl w:ilvl="2" w:tplc="921256BC">
      <w:start w:val="1"/>
      <w:numFmt w:val="lowerRoman"/>
      <w:lvlText w:val="%3."/>
      <w:lvlJc w:val="right"/>
      <w:pPr>
        <w:tabs>
          <w:tab w:val="left" w:pos="0"/>
        </w:tabs>
        <w:ind w:left="2880" w:hanging="180"/>
      </w:pPr>
    </w:lvl>
    <w:lvl w:ilvl="3" w:tplc="D91ED778">
      <w:start w:val="1"/>
      <w:numFmt w:val="decimal"/>
      <w:lvlText w:val="%4."/>
      <w:lvlJc w:val="left"/>
      <w:pPr>
        <w:tabs>
          <w:tab w:val="left" w:pos="0"/>
        </w:tabs>
        <w:ind w:left="3600" w:hanging="360"/>
      </w:pPr>
    </w:lvl>
    <w:lvl w:ilvl="4" w:tplc="B7A49A04">
      <w:start w:val="1"/>
      <w:numFmt w:val="lowerLetter"/>
      <w:lvlText w:val="%5."/>
      <w:lvlJc w:val="left"/>
      <w:pPr>
        <w:tabs>
          <w:tab w:val="left" w:pos="0"/>
        </w:tabs>
        <w:ind w:left="4320" w:hanging="360"/>
      </w:pPr>
    </w:lvl>
    <w:lvl w:ilvl="5" w:tplc="37F87A0C">
      <w:start w:val="1"/>
      <w:numFmt w:val="lowerRoman"/>
      <w:lvlText w:val="%6."/>
      <w:lvlJc w:val="right"/>
      <w:pPr>
        <w:tabs>
          <w:tab w:val="left" w:pos="0"/>
        </w:tabs>
        <w:ind w:left="5040" w:hanging="180"/>
      </w:pPr>
    </w:lvl>
    <w:lvl w:ilvl="6" w:tplc="AB5C6798">
      <w:start w:val="1"/>
      <w:numFmt w:val="decimal"/>
      <w:lvlText w:val="%7."/>
      <w:lvlJc w:val="left"/>
      <w:pPr>
        <w:tabs>
          <w:tab w:val="left" w:pos="0"/>
        </w:tabs>
        <w:ind w:left="5760" w:hanging="360"/>
      </w:pPr>
    </w:lvl>
    <w:lvl w:ilvl="7" w:tplc="9634E648">
      <w:start w:val="1"/>
      <w:numFmt w:val="lowerLetter"/>
      <w:lvlText w:val="%8."/>
      <w:lvlJc w:val="left"/>
      <w:pPr>
        <w:tabs>
          <w:tab w:val="left" w:pos="0"/>
        </w:tabs>
        <w:ind w:left="6480" w:hanging="360"/>
      </w:pPr>
    </w:lvl>
    <w:lvl w:ilvl="8" w:tplc="E6001132">
      <w:start w:val="1"/>
      <w:numFmt w:val="lowerRoman"/>
      <w:lvlText w:val="%9."/>
      <w:lvlJc w:val="right"/>
      <w:pPr>
        <w:tabs>
          <w:tab w:val="left" w:pos="0"/>
        </w:tabs>
        <w:ind w:left="7200" w:hanging="180"/>
      </w:pPr>
    </w:lvl>
  </w:abstractNum>
  <w:abstractNum w:abstractNumId="39" w15:restartNumberingAfterBreak="0">
    <w:nsid w:val="56747AAA"/>
    <w:multiLevelType w:val="hybridMultilevel"/>
    <w:tmpl w:val="1F8CBC98"/>
    <w:lvl w:ilvl="0" w:tplc="B9CE96F4">
      <w:start w:val="17"/>
      <w:numFmt w:val="decimal"/>
      <w:lvlText w:val="%1)"/>
      <w:lvlJc w:val="left"/>
      <w:pPr>
        <w:ind w:left="1080" w:hanging="360"/>
      </w:pPr>
      <w:rPr>
        <w:rFonts w:hint="default"/>
        <w:b/>
      </w:rPr>
    </w:lvl>
    <w:lvl w:ilvl="1" w:tplc="9B06BC9A">
      <w:start w:val="1"/>
      <w:numFmt w:val="lowerLetter"/>
      <w:lvlText w:val="%2."/>
      <w:lvlJc w:val="left"/>
      <w:pPr>
        <w:ind w:left="1800" w:hanging="360"/>
      </w:pPr>
    </w:lvl>
    <w:lvl w:ilvl="2" w:tplc="D0D2AA34">
      <w:start w:val="1"/>
      <w:numFmt w:val="lowerRoman"/>
      <w:lvlText w:val="%3."/>
      <w:lvlJc w:val="right"/>
      <w:pPr>
        <w:ind w:left="2520" w:hanging="180"/>
      </w:pPr>
    </w:lvl>
    <w:lvl w:ilvl="3" w:tplc="1B32B49C">
      <w:start w:val="1"/>
      <w:numFmt w:val="decimal"/>
      <w:lvlText w:val="%4."/>
      <w:lvlJc w:val="left"/>
      <w:pPr>
        <w:ind w:left="3240" w:hanging="360"/>
      </w:pPr>
    </w:lvl>
    <w:lvl w:ilvl="4" w:tplc="6574AF02">
      <w:start w:val="1"/>
      <w:numFmt w:val="lowerLetter"/>
      <w:lvlText w:val="%5."/>
      <w:lvlJc w:val="left"/>
      <w:pPr>
        <w:ind w:left="3960" w:hanging="360"/>
      </w:pPr>
    </w:lvl>
    <w:lvl w:ilvl="5" w:tplc="61325904">
      <w:start w:val="1"/>
      <w:numFmt w:val="lowerRoman"/>
      <w:lvlText w:val="%6."/>
      <w:lvlJc w:val="right"/>
      <w:pPr>
        <w:ind w:left="4680" w:hanging="180"/>
      </w:pPr>
    </w:lvl>
    <w:lvl w:ilvl="6" w:tplc="4928E57C">
      <w:start w:val="1"/>
      <w:numFmt w:val="decimal"/>
      <w:lvlText w:val="%7."/>
      <w:lvlJc w:val="left"/>
      <w:pPr>
        <w:ind w:left="5400" w:hanging="360"/>
      </w:pPr>
    </w:lvl>
    <w:lvl w:ilvl="7" w:tplc="460CA54A">
      <w:start w:val="1"/>
      <w:numFmt w:val="lowerLetter"/>
      <w:lvlText w:val="%8."/>
      <w:lvlJc w:val="left"/>
      <w:pPr>
        <w:ind w:left="6120" w:hanging="360"/>
      </w:pPr>
    </w:lvl>
    <w:lvl w:ilvl="8" w:tplc="B978BF44">
      <w:start w:val="1"/>
      <w:numFmt w:val="lowerRoman"/>
      <w:lvlText w:val="%9."/>
      <w:lvlJc w:val="right"/>
      <w:pPr>
        <w:ind w:left="6840" w:hanging="180"/>
      </w:pPr>
    </w:lvl>
  </w:abstractNum>
  <w:abstractNum w:abstractNumId="40" w15:restartNumberingAfterBreak="0">
    <w:nsid w:val="5EC74ECF"/>
    <w:multiLevelType w:val="hybridMultilevel"/>
    <w:tmpl w:val="4FE0DE40"/>
    <w:lvl w:ilvl="0" w:tplc="C66CCAD8">
      <w:start w:val="1"/>
      <w:numFmt w:val="bullet"/>
      <w:lvlText w:val=""/>
      <w:lvlJc w:val="left"/>
      <w:pPr>
        <w:tabs>
          <w:tab w:val="left" w:pos="0"/>
        </w:tabs>
        <w:ind w:left="720" w:hanging="360"/>
      </w:pPr>
      <w:rPr>
        <w:rFonts w:ascii="Symbol" w:hAnsi="Symbol" w:cs="Symbol" w:hint="default"/>
        <w:u w:val="none"/>
      </w:rPr>
    </w:lvl>
    <w:lvl w:ilvl="1" w:tplc="6CD83C1C">
      <w:start w:val="1"/>
      <w:numFmt w:val="bullet"/>
      <w:lvlText w:val="-"/>
      <w:lvlJc w:val="left"/>
      <w:pPr>
        <w:tabs>
          <w:tab w:val="left" w:pos="0"/>
        </w:tabs>
        <w:ind w:left="1440" w:hanging="360"/>
      </w:pPr>
      <w:rPr>
        <w:rFonts w:ascii="OpenSymbol" w:hAnsi="OpenSymbol" w:cs="OpenSymbol" w:hint="default"/>
        <w:u w:val="none"/>
      </w:rPr>
    </w:lvl>
    <w:lvl w:ilvl="2" w:tplc="7F1CF320">
      <w:start w:val="1"/>
      <w:numFmt w:val="bullet"/>
      <w:lvlText w:val="-"/>
      <w:lvlJc w:val="left"/>
      <w:pPr>
        <w:tabs>
          <w:tab w:val="left" w:pos="0"/>
        </w:tabs>
        <w:ind w:left="2160" w:hanging="360"/>
      </w:pPr>
      <w:rPr>
        <w:rFonts w:ascii="OpenSymbol" w:hAnsi="OpenSymbol" w:cs="OpenSymbol" w:hint="default"/>
        <w:u w:val="none"/>
      </w:rPr>
    </w:lvl>
    <w:lvl w:ilvl="3" w:tplc="AFB666B4">
      <w:start w:val="1"/>
      <w:numFmt w:val="bullet"/>
      <w:lvlText w:val="-"/>
      <w:lvlJc w:val="left"/>
      <w:pPr>
        <w:tabs>
          <w:tab w:val="left" w:pos="0"/>
        </w:tabs>
        <w:ind w:left="2880" w:hanging="360"/>
      </w:pPr>
      <w:rPr>
        <w:rFonts w:ascii="OpenSymbol" w:hAnsi="OpenSymbol" w:cs="OpenSymbol" w:hint="default"/>
        <w:u w:val="none"/>
      </w:rPr>
    </w:lvl>
    <w:lvl w:ilvl="4" w:tplc="7334FE60">
      <w:start w:val="1"/>
      <w:numFmt w:val="bullet"/>
      <w:lvlText w:val="-"/>
      <w:lvlJc w:val="left"/>
      <w:pPr>
        <w:tabs>
          <w:tab w:val="left" w:pos="0"/>
        </w:tabs>
        <w:ind w:left="3600" w:hanging="360"/>
      </w:pPr>
      <w:rPr>
        <w:rFonts w:ascii="OpenSymbol" w:hAnsi="OpenSymbol" w:cs="OpenSymbol" w:hint="default"/>
        <w:u w:val="none"/>
      </w:rPr>
    </w:lvl>
    <w:lvl w:ilvl="5" w:tplc="68CE0BA6">
      <w:start w:val="1"/>
      <w:numFmt w:val="bullet"/>
      <w:lvlText w:val="-"/>
      <w:lvlJc w:val="left"/>
      <w:pPr>
        <w:tabs>
          <w:tab w:val="left" w:pos="0"/>
        </w:tabs>
        <w:ind w:left="4320" w:hanging="360"/>
      </w:pPr>
      <w:rPr>
        <w:rFonts w:ascii="OpenSymbol" w:hAnsi="OpenSymbol" w:cs="OpenSymbol" w:hint="default"/>
        <w:u w:val="none"/>
      </w:rPr>
    </w:lvl>
    <w:lvl w:ilvl="6" w:tplc="5C92BF6E">
      <w:start w:val="1"/>
      <w:numFmt w:val="bullet"/>
      <w:lvlText w:val="-"/>
      <w:lvlJc w:val="left"/>
      <w:pPr>
        <w:tabs>
          <w:tab w:val="left" w:pos="0"/>
        </w:tabs>
        <w:ind w:left="5040" w:hanging="360"/>
      </w:pPr>
      <w:rPr>
        <w:rFonts w:ascii="OpenSymbol" w:hAnsi="OpenSymbol" w:cs="OpenSymbol" w:hint="default"/>
        <w:u w:val="none"/>
      </w:rPr>
    </w:lvl>
    <w:lvl w:ilvl="7" w:tplc="780AA474">
      <w:start w:val="1"/>
      <w:numFmt w:val="bullet"/>
      <w:lvlText w:val="-"/>
      <w:lvlJc w:val="left"/>
      <w:pPr>
        <w:tabs>
          <w:tab w:val="left" w:pos="0"/>
        </w:tabs>
        <w:ind w:left="5760" w:hanging="360"/>
      </w:pPr>
      <w:rPr>
        <w:rFonts w:ascii="OpenSymbol" w:hAnsi="OpenSymbol" w:cs="OpenSymbol" w:hint="default"/>
        <w:u w:val="none"/>
      </w:rPr>
    </w:lvl>
    <w:lvl w:ilvl="8" w:tplc="717865A0">
      <w:start w:val="1"/>
      <w:numFmt w:val="bullet"/>
      <w:lvlText w:val="-"/>
      <w:lvlJc w:val="left"/>
      <w:pPr>
        <w:tabs>
          <w:tab w:val="left" w:pos="0"/>
        </w:tabs>
        <w:ind w:left="6480" w:hanging="360"/>
      </w:pPr>
      <w:rPr>
        <w:rFonts w:ascii="OpenSymbol" w:hAnsi="OpenSymbol" w:cs="OpenSymbol" w:hint="default"/>
        <w:u w:val="none"/>
      </w:rPr>
    </w:lvl>
  </w:abstractNum>
  <w:abstractNum w:abstractNumId="41" w15:restartNumberingAfterBreak="0">
    <w:nsid w:val="6197238E"/>
    <w:multiLevelType w:val="hybridMultilevel"/>
    <w:tmpl w:val="B7141F0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BA3DA3"/>
    <w:multiLevelType w:val="hybridMultilevel"/>
    <w:tmpl w:val="5584363E"/>
    <w:lvl w:ilvl="0" w:tplc="0F882F1E">
      <w:start w:val="1"/>
      <w:numFmt w:val="bullet"/>
      <w:lvlText w:val=""/>
      <w:lvlJc w:val="left"/>
      <w:pPr>
        <w:tabs>
          <w:tab w:val="left" w:pos="0"/>
        </w:tabs>
        <w:ind w:left="720" w:hanging="360"/>
      </w:pPr>
      <w:rPr>
        <w:rFonts w:ascii="Symbol" w:hAnsi="Symbol" w:cs="Symbol" w:hint="default"/>
        <w:color w:val="auto"/>
      </w:rPr>
    </w:lvl>
    <w:lvl w:ilvl="1" w:tplc="DD78D9E0">
      <w:start w:val="1"/>
      <w:numFmt w:val="bullet"/>
      <w:lvlText w:val="o"/>
      <w:lvlJc w:val="left"/>
      <w:pPr>
        <w:tabs>
          <w:tab w:val="left" w:pos="0"/>
        </w:tabs>
        <w:ind w:left="1440" w:hanging="360"/>
      </w:pPr>
      <w:rPr>
        <w:rFonts w:ascii="Courier New" w:hAnsi="Courier New" w:cs="Courier New" w:hint="default"/>
      </w:rPr>
    </w:lvl>
    <w:lvl w:ilvl="2" w:tplc="1DDCF294">
      <w:start w:val="1"/>
      <w:numFmt w:val="bullet"/>
      <w:lvlText w:val=""/>
      <w:lvlJc w:val="left"/>
      <w:pPr>
        <w:tabs>
          <w:tab w:val="left" w:pos="0"/>
        </w:tabs>
        <w:ind w:left="2160" w:hanging="360"/>
      </w:pPr>
      <w:rPr>
        <w:rFonts w:ascii="Wingdings" w:hAnsi="Wingdings" w:cs="Wingdings" w:hint="default"/>
      </w:rPr>
    </w:lvl>
    <w:lvl w:ilvl="3" w:tplc="9F90DB1A">
      <w:start w:val="1"/>
      <w:numFmt w:val="bullet"/>
      <w:lvlText w:val=""/>
      <w:lvlJc w:val="left"/>
      <w:pPr>
        <w:tabs>
          <w:tab w:val="left" w:pos="0"/>
        </w:tabs>
        <w:ind w:left="2880" w:hanging="360"/>
      </w:pPr>
      <w:rPr>
        <w:rFonts w:ascii="Symbol" w:hAnsi="Symbol" w:cs="Symbol" w:hint="default"/>
      </w:rPr>
    </w:lvl>
    <w:lvl w:ilvl="4" w:tplc="0B0ABFD6">
      <w:start w:val="1"/>
      <w:numFmt w:val="bullet"/>
      <w:lvlText w:val="o"/>
      <w:lvlJc w:val="left"/>
      <w:pPr>
        <w:tabs>
          <w:tab w:val="left" w:pos="0"/>
        </w:tabs>
        <w:ind w:left="3600" w:hanging="360"/>
      </w:pPr>
      <w:rPr>
        <w:rFonts w:ascii="Courier New" w:hAnsi="Courier New" w:cs="Courier New" w:hint="default"/>
      </w:rPr>
    </w:lvl>
    <w:lvl w:ilvl="5" w:tplc="087A8296">
      <w:start w:val="1"/>
      <w:numFmt w:val="bullet"/>
      <w:lvlText w:val=""/>
      <w:lvlJc w:val="left"/>
      <w:pPr>
        <w:tabs>
          <w:tab w:val="left" w:pos="0"/>
        </w:tabs>
        <w:ind w:left="4320" w:hanging="360"/>
      </w:pPr>
      <w:rPr>
        <w:rFonts w:ascii="Wingdings" w:hAnsi="Wingdings" w:cs="Wingdings" w:hint="default"/>
      </w:rPr>
    </w:lvl>
    <w:lvl w:ilvl="6" w:tplc="3B2C7D4C">
      <w:start w:val="1"/>
      <w:numFmt w:val="bullet"/>
      <w:lvlText w:val=""/>
      <w:lvlJc w:val="left"/>
      <w:pPr>
        <w:tabs>
          <w:tab w:val="left" w:pos="0"/>
        </w:tabs>
        <w:ind w:left="5040" w:hanging="360"/>
      </w:pPr>
      <w:rPr>
        <w:rFonts w:ascii="Symbol" w:hAnsi="Symbol" w:cs="Symbol" w:hint="default"/>
      </w:rPr>
    </w:lvl>
    <w:lvl w:ilvl="7" w:tplc="59382602">
      <w:start w:val="1"/>
      <w:numFmt w:val="bullet"/>
      <w:lvlText w:val="o"/>
      <w:lvlJc w:val="left"/>
      <w:pPr>
        <w:tabs>
          <w:tab w:val="left" w:pos="0"/>
        </w:tabs>
        <w:ind w:left="5760" w:hanging="360"/>
      </w:pPr>
      <w:rPr>
        <w:rFonts w:ascii="Courier New" w:hAnsi="Courier New" w:cs="Courier New" w:hint="default"/>
      </w:rPr>
    </w:lvl>
    <w:lvl w:ilvl="8" w:tplc="A27865D4">
      <w:start w:val="1"/>
      <w:numFmt w:val="bullet"/>
      <w:lvlText w:val=""/>
      <w:lvlJc w:val="left"/>
      <w:pPr>
        <w:tabs>
          <w:tab w:val="left" w:pos="0"/>
        </w:tabs>
        <w:ind w:left="6480" w:hanging="360"/>
      </w:pPr>
      <w:rPr>
        <w:rFonts w:ascii="Wingdings" w:hAnsi="Wingdings" w:cs="Wingdings" w:hint="default"/>
      </w:rPr>
    </w:lvl>
  </w:abstractNum>
  <w:abstractNum w:abstractNumId="4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4" w15:restartNumberingAfterBreak="0">
    <w:nsid w:val="66274105"/>
    <w:multiLevelType w:val="hybridMultilevel"/>
    <w:tmpl w:val="29562F1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6A46E96"/>
    <w:multiLevelType w:val="hybridMultilevel"/>
    <w:tmpl w:val="443C0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9A36267"/>
    <w:multiLevelType w:val="hybridMultilevel"/>
    <w:tmpl w:val="879CF734"/>
    <w:lvl w:ilvl="0" w:tplc="2F925A66">
      <w:start w:val="1"/>
      <w:numFmt w:val="bullet"/>
      <w:lvlText w:val=""/>
      <w:lvlJc w:val="left"/>
      <w:pPr>
        <w:ind w:left="720" w:hanging="360"/>
      </w:pPr>
      <w:rPr>
        <w:rFonts w:ascii="Symbol" w:hAnsi="Symbol" w:hint="default"/>
      </w:rPr>
    </w:lvl>
    <w:lvl w:ilvl="1" w:tplc="633C78A0">
      <w:start w:val="1"/>
      <w:numFmt w:val="bullet"/>
      <w:lvlText w:val="o"/>
      <w:lvlJc w:val="left"/>
      <w:pPr>
        <w:ind w:left="1440" w:hanging="360"/>
      </w:pPr>
      <w:rPr>
        <w:rFonts w:ascii="Courier New" w:hAnsi="Courier New" w:cs="Courier New" w:hint="default"/>
      </w:rPr>
    </w:lvl>
    <w:lvl w:ilvl="2" w:tplc="0A26D2F8">
      <w:start w:val="1"/>
      <w:numFmt w:val="bullet"/>
      <w:lvlText w:val=""/>
      <w:lvlJc w:val="left"/>
      <w:pPr>
        <w:ind w:left="2160" w:hanging="360"/>
      </w:pPr>
      <w:rPr>
        <w:rFonts w:ascii="Wingdings" w:hAnsi="Wingdings" w:hint="default"/>
      </w:rPr>
    </w:lvl>
    <w:lvl w:ilvl="3" w:tplc="1546638E">
      <w:start w:val="1"/>
      <w:numFmt w:val="bullet"/>
      <w:lvlText w:val=""/>
      <w:lvlJc w:val="left"/>
      <w:pPr>
        <w:ind w:left="2880" w:hanging="360"/>
      </w:pPr>
      <w:rPr>
        <w:rFonts w:ascii="Symbol" w:hAnsi="Symbol" w:hint="default"/>
      </w:rPr>
    </w:lvl>
    <w:lvl w:ilvl="4" w:tplc="BA5854A8">
      <w:start w:val="1"/>
      <w:numFmt w:val="bullet"/>
      <w:lvlText w:val="o"/>
      <w:lvlJc w:val="left"/>
      <w:pPr>
        <w:ind w:left="3600" w:hanging="360"/>
      </w:pPr>
      <w:rPr>
        <w:rFonts w:ascii="Courier New" w:hAnsi="Courier New" w:cs="Courier New" w:hint="default"/>
      </w:rPr>
    </w:lvl>
    <w:lvl w:ilvl="5" w:tplc="0830571E">
      <w:start w:val="1"/>
      <w:numFmt w:val="bullet"/>
      <w:lvlText w:val=""/>
      <w:lvlJc w:val="left"/>
      <w:pPr>
        <w:ind w:left="4320" w:hanging="360"/>
      </w:pPr>
      <w:rPr>
        <w:rFonts w:ascii="Wingdings" w:hAnsi="Wingdings" w:hint="default"/>
      </w:rPr>
    </w:lvl>
    <w:lvl w:ilvl="6" w:tplc="6D3E3F2E">
      <w:start w:val="1"/>
      <w:numFmt w:val="bullet"/>
      <w:lvlText w:val=""/>
      <w:lvlJc w:val="left"/>
      <w:pPr>
        <w:ind w:left="5040" w:hanging="360"/>
      </w:pPr>
      <w:rPr>
        <w:rFonts w:ascii="Symbol" w:hAnsi="Symbol" w:hint="default"/>
      </w:rPr>
    </w:lvl>
    <w:lvl w:ilvl="7" w:tplc="36C6CA98">
      <w:start w:val="1"/>
      <w:numFmt w:val="bullet"/>
      <w:lvlText w:val="o"/>
      <w:lvlJc w:val="left"/>
      <w:pPr>
        <w:ind w:left="5760" w:hanging="360"/>
      </w:pPr>
      <w:rPr>
        <w:rFonts w:ascii="Courier New" w:hAnsi="Courier New" w:cs="Courier New" w:hint="default"/>
      </w:rPr>
    </w:lvl>
    <w:lvl w:ilvl="8" w:tplc="9EE2EFDA">
      <w:start w:val="1"/>
      <w:numFmt w:val="bullet"/>
      <w:lvlText w:val=""/>
      <w:lvlJc w:val="left"/>
      <w:pPr>
        <w:ind w:left="6480" w:hanging="360"/>
      </w:pPr>
      <w:rPr>
        <w:rFonts w:ascii="Wingdings" w:hAnsi="Wingdings" w:hint="default"/>
      </w:rPr>
    </w:lvl>
  </w:abstractNum>
  <w:abstractNum w:abstractNumId="47" w15:restartNumberingAfterBreak="0">
    <w:nsid w:val="6AC84C53"/>
    <w:multiLevelType w:val="hybridMultilevel"/>
    <w:tmpl w:val="89749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EF21107"/>
    <w:multiLevelType w:val="hybridMultilevel"/>
    <w:tmpl w:val="EC7A8C84"/>
    <w:lvl w:ilvl="0" w:tplc="15022F9A">
      <w:start w:val="1"/>
      <w:numFmt w:val="bullet"/>
      <w:lvlText w:val=""/>
      <w:lvlJc w:val="left"/>
      <w:pPr>
        <w:ind w:left="1146" w:hanging="360"/>
      </w:pPr>
      <w:rPr>
        <w:rFonts w:ascii="Symbol" w:hAnsi="Symbol" w:hint="default"/>
      </w:rPr>
    </w:lvl>
    <w:lvl w:ilvl="1" w:tplc="826E2B1E">
      <w:start w:val="1"/>
      <w:numFmt w:val="bullet"/>
      <w:lvlText w:val="o"/>
      <w:lvlJc w:val="left"/>
      <w:pPr>
        <w:ind w:left="1866" w:hanging="360"/>
      </w:pPr>
      <w:rPr>
        <w:rFonts w:ascii="Courier New" w:hAnsi="Courier New" w:cs="Courier New" w:hint="default"/>
      </w:rPr>
    </w:lvl>
    <w:lvl w:ilvl="2" w:tplc="7EB69060">
      <w:start w:val="1"/>
      <w:numFmt w:val="bullet"/>
      <w:lvlText w:val=""/>
      <w:lvlJc w:val="left"/>
      <w:pPr>
        <w:ind w:left="2586" w:hanging="360"/>
      </w:pPr>
      <w:rPr>
        <w:rFonts w:ascii="Wingdings" w:hAnsi="Wingdings" w:hint="default"/>
      </w:rPr>
    </w:lvl>
    <w:lvl w:ilvl="3" w:tplc="29482CEA">
      <w:start w:val="1"/>
      <w:numFmt w:val="bullet"/>
      <w:lvlText w:val=""/>
      <w:lvlJc w:val="left"/>
      <w:pPr>
        <w:ind w:left="3306" w:hanging="360"/>
      </w:pPr>
      <w:rPr>
        <w:rFonts w:ascii="Symbol" w:hAnsi="Symbol" w:hint="default"/>
      </w:rPr>
    </w:lvl>
    <w:lvl w:ilvl="4" w:tplc="96387B58">
      <w:start w:val="1"/>
      <w:numFmt w:val="bullet"/>
      <w:lvlText w:val="o"/>
      <w:lvlJc w:val="left"/>
      <w:pPr>
        <w:ind w:left="4026" w:hanging="360"/>
      </w:pPr>
      <w:rPr>
        <w:rFonts w:ascii="Courier New" w:hAnsi="Courier New" w:cs="Courier New" w:hint="default"/>
      </w:rPr>
    </w:lvl>
    <w:lvl w:ilvl="5" w:tplc="4E98A554">
      <w:start w:val="1"/>
      <w:numFmt w:val="bullet"/>
      <w:lvlText w:val=""/>
      <w:lvlJc w:val="left"/>
      <w:pPr>
        <w:ind w:left="4746" w:hanging="360"/>
      </w:pPr>
      <w:rPr>
        <w:rFonts w:ascii="Wingdings" w:hAnsi="Wingdings" w:hint="default"/>
      </w:rPr>
    </w:lvl>
    <w:lvl w:ilvl="6" w:tplc="31CCE9B4">
      <w:start w:val="1"/>
      <w:numFmt w:val="bullet"/>
      <w:lvlText w:val=""/>
      <w:lvlJc w:val="left"/>
      <w:pPr>
        <w:ind w:left="5466" w:hanging="360"/>
      </w:pPr>
      <w:rPr>
        <w:rFonts w:ascii="Symbol" w:hAnsi="Symbol" w:hint="default"/>
      </w:rPr>
    </w:lvl>
    <w:lvl w:ilvl="7" w:tplc="42A2CCEE">
      <w:start w:val="1"/>
      <w:numFmt w:val="bullet"/>
      <w:lvlText w:val="o"/>
      <w:lvlJc w:val="left"/>
      <w:pPr>
        <w:ind w:left="6186" w:hanging="360"/>
      </w:pPr>
      <w:rPr>
        <w:rFonts w:ascii="Courier New" w:hAnsi="Courier New" w:cs="Courier New" w:hint="default"/>
      </w:rPr>
    </w:lvl>
    <w:lvl w:ilvl="8" w:tplc="63E6EE48">
      <w:start w:val="1"/>
      <w:numFmt w:val="bullet"/>
      <w:lvlText w:val=""/>
      <w:lvlJc w:val="left"/>
      <w:pPr>
        <w:ind w:left="6906" w:hanging="360"/>
      </w:pPr>
      <w:rPr>
        <w:rFonts w:ascii="Wingdings" w:hAnsi="Wingdings" w:hint="default"/>
      </w:rPr>
    </w:lvl>
  </w:abstractNum>
  <w:abstractNum w:abstractNumId="49" w15:restartNumberingAfterBreak="0">
    <w:nsid w:val="705A0094"/>
    <w:multiLevelType w:val="hybridMultilevel"/>
    <w:tmpl w:val="AD4CBE44"/>
    <w:lvl w:ilvl="0" w:tplc="C6147D66">
      <w:start w:val="1"/>
      <w:numFmt w:val="bullet"/>
      <w:lvlText w:val=""/>
      <w:lvlJc w:val="left"/>
      <w:pPr>
        <w:tabs>
          <w:tab w:val="left" w:pos="0"/>
        </w:tabs>
        <w:ind w:left="720" w:hanging="360"/>
      </w:pPr>
      <w:rPr>
        <w:rFonts w:ascii="Symbol" w:hAnsi="Symbol" w:cs="Symbol" w:hint="default"/>
      </w:rPr>
    </w:lvl>
    <w:lvl w:ilvl="1" w:tplc="4920C4F8">
      <w:start w:val="1"/>
      <w:numFmt w:val="bullet"/>
      <w:lvlText w:val="o"/>
      <w:lvlJc w:val="left"/>
      <w:pPr>
        <w:tabs>
          <w:tab w:val="left" w:pos="0"/>
        </w:tabs>
        <w:ind w:left="1440" w:hanging="360"/>
      </w:pPr>
      <w:rPr>
        <w:rFonts w:ascii="Courier New" w:hAnsi="Courier New" w:cs="Courier New" w:hint="default"/>
      </w:rPr>
    </w:lvl>
    <w:lvl w:ilvl="2" w:tplc="09DC9668">
      <w:start w:val="1"/>
      <w:numFmt w:val="bullet"/>
      <w:lvlText w:val=""/>
      <w:lvlJc w:val="left"/>
      <w:pPr>
        <w:tabs>
          <w:tab w:val="left" w:pos="0"/>
        </w:tabs>
        <w:ind w:left="2160" w:hanging="360"/>
      </w:pPr>
      <w:rPr>
        <w:rFonts w:ascii="Wingdings" w:hAnsi="Wingdings" w:cs="Wingdings" w:hint="default"/>
      </w:rPr>
    </w:lvl>
    <w:lvl w:ilvl="3" w:tplc="819C9FFE">
      <w:start w:val="1"/>
      <w:numFmt w:val="bullet"/>
      <w:lvlText w:val=""/>
      <w:lvlJc w:val="left"/>
      <w:pPr>
        <w:tabs>
          <w:tab w:val="left" w:pos="0"/>
        </w:tabs>
        <w:ind w:left="2880" w:hanging="360"/>
      </w:pPr>
      <w:rPr>
        <w:rFonts w:ascii="Symbol" w:hAnsi="Symbol" w:cs="Symbol" w:hint="default"/>
      </w:rPr>
    </w:lvl>
    <w:lvl w:ilvl="4" w:tplc="53AC6192">
      <w:start w:val="1"/>
      <w:numFmt w:val="bullet"/>
      <w:lvlText w:val="o"/>
      <w:lvlJc w:val="left"/>
      <w:pPr>
        <w:tabs>
          <w:tab w:val="left" w:pos="0"/>
        </w:tabs>
        <w:ind w:left="3600" w:hanging="360"/>
      </w:pPr>
      <w:rPr>
        <w:rFonts w:ascii="Courier New" w:hAnsi="Courier New" w:cs="Courier New" w:hint="default"/>
      </w:rPr>
    </w:lvl>
    <w:lvl w:ilvl="5" w:tplc="845085B2">
      <w:start w:val="1"/>
      <w:numFmt w:val="bullet"/>
      <w:lvlText w:val=""/>
      <w:lvlJc w:val="left"/>
      <w:pPr>
        <w:tabs>
          <w:tab w:val="left" w:pos="0"/>
        </w:tabs>
        <w:ind w:left="4320" w:hanging="360"/>
      </w:pPr>
      <w:rPr>
        <w:rFonts w:ascii="Wingdings" w:hAnsi="Wingdings" w:cs="Wingdings" w:hint="default"/>
      </w:rPr>
    </w:lvl>
    <w:lvl w:ilvl="6" w:tplc="9D2E7FBA">
      <w:start w:val="1"/>
      <w:numFmt w:val="bullet"/>
      <w:lvlText w:val=""/>
      <w:lvlJc w:val="left"/>
      <w:pPr>
        <w:tabs>
          <w:tab w:val="left" w:pos="0"/>
        </w:tabs>
        <w:ind w:left="5040" w:hanging="360"/>
      </w:pPr>
      <w:rPr>
        <w:rFonts w:ascii="Symbol" w:hAnsi="Symbol" w:cs="Symbol" w:hint="default"/>
      </w:rPr>
    </w:lvl>
    <w:lvl w:ilvl="7" w:tplc="77382B70">
      <w:start w:val="1"/>
      <w:numFmt w:val="bullet"/>
      <w:lvlText w:val="o"/>
      <w:lvlJc w:val="left"/>
      <w:pPr>
        <w:tabs>
          <w:tab w:val="left" w:pos="0"/>
        </w:tabs>
        <w:ind w:left="5760" w:hanging="360"/>
      </w:pPr>
      <w:rPr>
        <w:rFonts w:ascii="Courier New" w:hAnsi="Courier New" w:cs="Courier New" w:hint="default"/>
      </w:rPr>
    </w:lvl>
    <w:lvl w:ilvl="8" w:tplc="AFCE023E">
      <w:start w:val="1"/>
      <w:numFmt w:val="bullet"/>
      <w:lvlText w:val=""/>
      <w:lvlJc w:val="left"/>
      <w:pPr>
        <w:tabs>
          <w:tab w:val="left" w:pos="0"/>
        </w:tabs>
        <w:ind w:left="6480" w:hanging="360"/>
      </w:pPr>
      <w:rPr>
        <w:rFonts w:ascii="Wingdings" w:hAnsi="Wingdings" w:cs="Wingdings" w:hint="default"/>
      </w:rPr>
    </w:lvl>
  </w:abstractNum>
  <w:abstractNum w:abstractNumId="50"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1"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512DFF"/>
    <w:multiLevelType w:val="hybridMultilevel"/>
    <w:tmpl w:val="9640A3E6"/>
    <w:lvl w:ilvl="0" w:tplc="41281C84">
      <w:start w:val="1"/>
      <w:numFmt w:val="bullet"/>
      <w:lvlText w:val=""/>
      <w:lvlJc w:val="left"/>
      <w:pPr>
        <w:tabs>
          <w:tab w:val="left" w:pos="0"/>
        </w:tabs>
        <w:ind w:left="720" w:hanging="360"/>
      </w:pPr>
      <w:rPr>
        <w:rFonts w:ascii="Wingdings" w:hAnsi="Wingdings" w:cs="Wingdings" w:hint="default"/>
      </w:rPr>
    </w:lvl>
    <w:lvl w:ilvl="1" w:tplc="3516DBFC">
      <w:start w:val="1"/>
      <w:numFmt w:val="bullet"/>
      <w:lvlText w:val="o"/>
      <w:lvlJc w:val="left"/>
      <w:pPr>
        <w:tabs>
          <w:tab w:val="left" w:pos="0"/>
        </w:tabs>
        <w:ind w:left="1440" w:hanging="360"/>
      </w:pPr>
      <w:rPr>
        <w:rFonts w:ascii="Courier New" w:hAnsi="Courier New" w:cs="Courier New" w:hint="default"/>
      </w:rPr>
    </w:lvl>
    <w:lvl w:ilvl="2" w:tplc="0ADE6C56">
      <w:start w:val="1"/>
      <w:numFmt w:val="bullet"/>
      <w:lvlText w:val=""/>
      <w:lvlJc w:val="left"/>
      <w:pPr>
        <w:tabs>
          <w:tab w:val="left" w:pos="0"/>
        </w:tabs>
        <w:ind w:left="2160" w:hanging="360"/>
      </w:pPr>
      <w:rPr>
        <w:rFonts w:ascii="Wingdings" w:hAnsi="Wingdings" w:cs="Wingdings" w:hint="default"/>
      </w:rPr>
    </w:lvl>
    <w:lvl w:ilvl="3" w:tplc="768C674E">
      <w:start w:val="1"/>
      <w:numFmt w:val="bullet"/>
      <w:lvlText w:val=""/>
      <w:lvlJc w:val="left"/>
      <w:pPr>
        <w:tabs>
          <w:tab w:val="left" w:pos="0"/>
        </w:tabs>
        <w:ind w:left="2880" w:hanging="360"/>
      </w:pPr>
      <w:rPr>
        <w:rFonts w:ascii="Symbol" w:hAnsi="Symbol" w:cs="Symbol" w:hint="default"/>
      </w:rPr>
    </w:lvl>
    <w:lvl w:ilvl="4" w:tplc="8C88E4EC">
      <w:start w:val="1"/>
      <w:numFmt w:val="bullet"/>
      <w:lvlText w:val="o"/>
      <w:lvlJc w:val="left"/>
      <w:pPr>
        <w:tabs>
          <w:tab w:val="left" w:pos="0"/>
        </w:tabs>
        <w:ind w:left="3600" w:hanging="360"/>
      </w:pPr>
      <w:rPr>
        <w:rFonts w:ascii="Courier New" w:hAnsi="Courier New" w:cs="Courier New" w:hint="default"/>
      </w:rPr>
    </w:lvl>
    <w:lvl w:ilvl="5" w:tplc="B52849FA">
      <w:start w:val="1"/>
      <w:numFmt w:val="bullet"/>
      <w:lvlText w:val=""/>
      <w:lvlJc w:val="left"/>
      <w:pPr>
        <w:tabs>
          <w:tab w:val="left" w:pos="0"/>
        </w:tabs>
        <w:ind w:left="4320" w:hanging="360"/>
      </w:pPr>
      <w:rPr>
        <w:rFonts w:ascii="Wingdings" w:hAnsi="Wingdings" w:cs="Wingdings" w:hint="default"/>
      </w:rPr>
    </w:lvl>
    <w:lvl w:ilvl="6" w:tplc="64F8E3AE">
      <w:start w:val="1"/>
      <w:numFmt w:val="bullet"/>
      <w:lvlText w:val=""/>
      <w:lvlJc w:val="left"/>
      <w:pPr>
        <w:tabs>
          <w:tab w:val="left" w:pos="0"/>
        </w:tabs>
        <w:ind w:left="5040" w:hanging="360"/>
      </w:pPr>
      <w:rPr>
        <w:rFonts w:ascii="Symbol" w:hAnsi="Symbol" w:cs="Symbol" w:hint="default"/>
      </w:rPr>
    </w:lvl>
    <w:lvl w:ilvl="7" w:tplc="34A06C32">
      <w:start w:val="1"/>
      <w:numFmt w:val="bullet"/>
      <w:lvlText w:val="o"/>
      <w:lvlJc w:val="left"/>
      <w:pPr>
        <w:tabs>
          <w:tab w:val="left" w:pos="0"/>
        </w:tabs>
        <w:ind w:left="5760" w:hanging="360"/>
      </w:pPr>
      <w:rPr>
        <w:rFonts w:ascii="Courier New" w:hAnsi="Courier New" w:cs="Courier New" w:hint="default"/>
      </w:rPr>
    </w:lvl>
    <w:lvl w:ilvl="8" w:tplc="5AF2792C">
      <w:start w:val="1"/>
      <w:numFmt w:val="bullet"/>
      <w:lvlText w:val=""/>
      <w:lvlJc w:val="left"/>
      <w:pPr>
        <w:tabs>
          <w:tab w:val="left" w:pos="0"/>
        </w:tabs>
        <w:ind w:left="6480" w:hanging="360"/>
      </w:pPr>
      <w:rPr>
        <w:rFonts w:ascii="Wingdings" w:hAnsi="Wingdings" w:cs="Wingdings" w:hint="default"/>
      </w:rPr>
    </w:lvl>
  </w:abstractNum>
  <w:abstractNum w:abstractNumId="53" w15:restartNumberingAfterBreak="0">
    <w:nsid w:val="748E4CE8"/>
    <w:multiLevelType w:val="hybridMultilevel"/>
    <w:tmpl w:val="4558CDB0"/>
    <w:lvl w:ilvl="0" w:tplc="533468C4">
      <w:start w:val="1"/>
      <w:numFmt w:val="decimal"/>
      <w:lvlText w:val="%1)"/>
      <w:lvlJc w:val="left"/>
      <w:pPr>
        <w:tabs>
          <w:tab w:val="left" w:pos="0"/>
        </w:tabs>
        <w:ind w:left="720" w:hanging="360"/>
      </w:pPr>
      <w:rPr>
        <w:color w:val="auto"/>
      </w:rPr>
    </w:lvl>
    <w:lvl w:ilvl="1" w:tplc="51C6A836">
      <w:start w:val="1"/>
      <w:numFmt w:val="lowerLetter"/>
      <w:lvlText w:val="%2."/>
      <w:lvlJc w:val="left"/>
      <w:pPr>
        <w:tabs>
          <w:tab w:val="left" w:pos="0"/>
        </w:tabs>
        <w:ind w:left="1440" w:hanging="360"/>
      </w:pPr>
    </w:lvl>
    <w:lvl w:ilvl="2" w:tplc="CA246738">
      <w:start w:val="1"/>
      <w:numFmt w:val="lowerRoman"/>
      <w:lvlText w:val="%3."/>
      <w:lvlJc w:val="right"/>
      <w:pPr>
        <w:tabs>
          <w:tab w:val="left" w:pos="0"/>
        </w:tabs>
        <w:ind w:left="2160" w:hanging="180"/>
      </w:pPr>
    </w:lvl>
    <w:lvl w:ilvl="3" w:tplc="6122D776">
      <w:start w:val="1"/>
      <w:numFmt w:val="decimal"/>
      <w:lvlText w:val="%4."/>
      <w:lvlJc w:val="left"/>
      <w:pPr>
        <w:tabs>
          <w:tab w:val="left" w:pos="0"/>
        </w:tabs>
        <w:ind w:left="2880" w:hanging="360"/>
      </w:pPr>
    </w:lvl>
    <w:lvl w:ilvl="4" w:tplc="560A213E">
      <w:start w:val="1"/>
      <w:numFmt w:val="lowerLetter"/>
      <w:lvlText w:val="%5."/>
      <w:lvlJc w:val="left"/>
      <w:pPr>
        <w:tabs>
          <w:tab w:val="left" w:pos="0"/>
        </w:tabs>
        <w:ind w:left="3600" w:hanging="360"/>
      </w:pPr>
    </w:lvl>
    <w:lvl w:ilvl="5" w:tplc="A7BC7FEA">
      <w:start w:val="1"/>
      <w:numFmt w:val="lowerRoman"/>
      <w:lvlText w:val="%6."/>
      <w:lvlJc w:val="right"/>
      <w:pPr>
        <w:tabs>
          <w:tab w:val="left" w:pos="0"/>
        </w:tabs>
        <w:ind w:left="4320" w:hanging="180"/>
      </w:pPr>
    </w:lvl>
    <w:lvl w:ilvl="6" w:tplc="CD9A21D0">
      <w:start w:val="1"/>
      <w:numFmt w:val="decimal"/>
      <w:lvlText w:val="%7."/>
      <w:lvlJc w:val="left"/>
      <w:pPr>
        <w:tabs>
          <w:tab w:val="left" w:pos="0"/>
        </w:tabs>
        <w:ind w:left="5040" w:hanging="360"/>
      </w:pPr>
    </w:lvl>
    <w:lvl w:ilvl="7" w:tplc="AFA6E078">
      <w:start w:val="1"/>
      <w:numFmt w:val="lowerLetter"/>
      <w:lvlText w:val="%8."/>
      <w:lvlJc w:val="left"/>
      <w:pPr>
        <w:tabs>
          <w:tab w:val="left" w:pos="0"/>
        </w:tabs>
        <w:ind w:left="5760" w:hanging="360"/>
      </w:pPr>
    </w:lvl>
    <w:lvl w:ilvl="8" w:tplc="0B0AB9F6">
      <w:start w:val="1"/>
      <w:numFmt w:val="lowerRoman"/>
      <w:lvlText w:val="%9."/>
      <w:lvlJc w:val="right"/>
      <w:pPr>
        <w:tabs>
          <w:tab w:val="left" w:pos="0"/>
        </w:tabs>
        <w:ind w:left="6480" w:hanging="180"/>
      </w:pPr>
    </w:lvl>
  </w:abstractNum>
  <w:abstractNum w:abstractNumId="54" w15:restartNumberingAfterBreak="0">
    <w:nsid w:val="74F35915"/>
    <w:multiLevelType w:val="hybridMultilevel"/>
    <w:tmpl w:val="AD008DFC"/>
    <w:lvl w:ilvl="0" w:tplc="999EB474">
      <w:start w:val="1"/>
      <w:numFmt w:val="lowerLetter"/>
      <w:lvlText w:val="%1)"/>
      <w:lvlJc w:val="left"/>
      <w:pPr>
        <w:tabs>
          <w:tab w:val="left" w:pos="0"/>
        </w:tabs>
        <w:ind w:left="2160" w:hanging="360"/>
      </w:pPr>
    </w:lvl>
    <w:lvl w:ilvl="1" w:tplc="54269022">
      <w:start w:val="1"/>
      <w:numFmt w:val="lowerLetter"/>
      <w:lvlText w:val="%2."/>
      <w:lvlJc w:val="left"/>
      <w:pPr>
        <w:tabs>
          <w:tab w:val="left" w:pos="0"/>
        </w:tabs>
        <w:ind w:left="2880" w:hanging="360"/>
      </w:pPr>
    </w:lvl>
    <w:lvl w:ilvl="2" w:tplc="F6907A26">
      <w:start w:val="1"/>
      <w:numFmt w:val="lowerRoman"/>
      <w:lvlText w:val="%3."/>
      <w:lvlJc w:val="right"/>
      <w:pPr>
        <w:tabs>
          <w:tab w:val="left" w:pos="0"/>
        </w:tabs>
        <w:ind w:left="3600" w:hanging="180"/>
      </w:pPr>
    </w:lvl>
    <w:lvl w:ilvl="3" w:tplc="868AEA90">
      <w:start w:val="1"/>
      <w:numFmt w:val="decimal"/>
      <w:lvlText w:val="%4."/>
      <w:lvlJc w:val="left"/>
      <w:pPr>
        <w:tabs>
          <w:tab w:val="left" w:pos="0"/>
        </w:tabs>
        <w:ind w:left="4320" w:hanging="360"/>
      </w:pPr>
    </w:lvl>
    <w:lvl w:ilvl="4" w:tplc="5966F7B0">
      <w:start w:val="1"/>
      <w:numFmt w:val="lowerLetter"/>
      <w:lvlText w:val="%5."/>
      <w:lvlJc w:val="left"/>
      <w:pPr>
        <w:tabs>
          <w:tab w:val="left" w:pos="0"/>
        </w:tabs>
        <w:ind w:left="5040" w:hanging="360"/>
      </w:pPr>
    </w:lvl>
    <w:lvl w:ilvl="5" w:tplc="D77673FA">
      <w:start w:val="1"/>
      <w:numFmt w:val="lowerRoman"/>
      <w:lvlText w:val="%6."/>
      <w:lvlJc w:val="right"/>
      <w:pPr>
        <w:tabs>
          <w:tab w:val="left" w:pos="0"/>
        </w:tabs>
        <w:ind w:left="5760" w:hanging="180"/>
      </w:pPr>
    </w:lvl>
    <w:lvl w:ilvl="6" w:tplc="B92C630A">
      <w:start w:val="1"/>
      <w:numFmt w:val="decimal"/>
      <w:lvlText w:val="%7."/>
      <w:lvlJc w:val="left"/>
      <w:pPr>
        <w:tabs>
          <w:tab w:val="left" w:pos="0"/>
        </w:tabs>
        <w:ind w:left="6480" w:hanging="360"/>
      </w:pPr>
    </w:lvl>
    <w:lvl w:ilvl="7" w:tplc="0B3C5476">
      <w:start w:val="1"/>
      <w:numFmt w:val="lowerLetter"/>
      <w:lvlText w:val="%8."/>
      <w:lvlJc w:val="left"/>
      <w:pPr>
        <w:tabs>
          <w:tab w:val="left" w:pos="0"/>
        </w:tabs>
        <w:ind w:left="7200" w:hanging="360"/>
      </w:pPr>
    </w:lvl>
    <w:lvl w:ilvl="8" w:tplc="B3428F9A">
      <w:start w:val="1"/>
      <w:numFmt w:val="lowerRoman"/>
      <w:lvlText w:val="%9."/>
      <w:lvlJc w:val="right"/>
      <w:pPr>
        <w:tabs>
          <w:tab w:val="left" w:pos="0"/>
        </w:tabs>
        <w:ind w:left="7920" w:hanging="180"/>
      </w:pPr>
    </w:lvl>
  </w:abstractNum>
  <w:abstractNum w:abstractNumId="55" w15:restartNumberingAfterBreak="0">
    <w:nsid w:val="7CD70EAB"/>
    <w:multiLevelType w:val="hybridMultilevel"/>
    <w:tmpl w:val="17546288"/>
    <w:lvl w:ilvl="0" w:tplc="9948F8CE">
      <w:start w:val="15"/>
      <w:numFmt w:val="decimal"/>
      <w:lvlText w:val="%1."/>
      <w:lvlJc w:val="left"/>
      <w:pPr>
        <w:ind w:left="787" w:hanging="360"/>
      </w:pPr>
      <w:rPr>
        <w:rFonts w:hint="default"/>
        <w:b/>
        <w:bCs/>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56" w15:restartNumberingAfterBreak="0">
    <w:nsid w:val="7E6A0EFF"/>
    <w:multiLevelType w:val="hybridMultilevel"/>
    <w:tmpl w:val="0FBAB820"/>
    <w:lvl w:ilvl="0" w:tplc="4E7A1AB0">
      <w:start w:val="1"/>
      <w:numFmt w:val="bullet"/>
      <w:lvlText w:val=""/>
      <w:lvlJc w:val="left"/>
      <w:pPr>
        <w:tabs>
          <w:tab w:val="left" w:pos="0"/>
        </w:tabs>
        <w:ind w:left="768" w:hanging="360"/>
      </w:pPr>
      <w:rPr>
        <w:rFonts w:ascii="Symbol" w:hAnsi="Symbol" w:cs="Symbol" w:hint="default"/>
      </w:rPr>
    </w:lvl>
    <w:lvl w:ilvl="1" w:tplc="2F065654">
      <w:start w:val="1"/>
      <w:numFmt w:val="bullet"/>
      <w:lvlText w:val="o"/>
      <w:lvlJc w:val="left"/>
      <w:pPr>
        <w:tabs>
          <w:tab w:val="left" w:pos="0"/>
        </w:tabs>
        <w:ind w:left="1488" w:hanging="360"/>
      </w:pPr>
      <w:rPr>
        <w:rFonts w:ascii="Courier New" w:hAnsi="Courier New" w:cs="Courier New" w:hint="default"/>
      </w:rPr>
    </w:lvl>
    <w:lvl w:ilvl="2" w:tplc="3258A894">
      <w:start w:val="1"/>
      <w:numFmt w:val="bullet"/>
      <w:lvlText w:val=""/>
      <w:lvlJc w:val="left"/>
      <w:pPr>
        <w:tabs>
          <w:tab w:val="left" w:pos="0"/>
        </w:tabs>
        <w:ind w:left="2208" w:hanging="360"/>
      </w:pPr>
      <w:rPr>
        <w:rFonts w:ascii="Wingdings" w:hAnsi="Wingdings" w:cs="Wingdings" w:hint="default"/>
      </w:rPr>
    </w:lvl>
    <w:lvl w:ilvl="3" w:tplc="E88CD7C2">
      <w:start w:val="1"/>
      <w:numFmt w:val="bullet"/>
      <w:lvlText w:val=""/>
      <w:lvlJc w:val="left"/>
      <w:pPr>
        <w:tabs>
          <w:tab w:val="left" w:pos="0"/>
        </w:tabs>
        <w:ind w:left="2928" w:hanging="360"/>
      </w:pPr>
      <w:rPr>
        <w:rFonts w:ascii="Symbol" w:hAnsi="Symbol" w:cs="Symbol" w:hint="default"/>
      </w:rPr>
    </w:lvl>
    <w:lvl w:ilvl="4" w:tplc="C8EA73F2">
      <w:start w:val="1"/>
      <w:numFmt w:val="bullet"/>
      <w:lvlText w:val="o"/>
      <w:lvlJc w:val="left"/>
      <w:pPr>
        <w:tabs>
          <w:tab w:val="left" w:pos="0"/>
        </w:tabs>
        <w:ind w:left="3648" w:hanging="360"/>
      </w:pPr>
      <w:rPr>
        <w:rFonts w:ascii="Courier New" w:hAnsi="Courier New" w:cs="Courier New" w:hint="default"/>
      </w:rPr>
    </w:lvl>
    <w:lvl w:ilvl="5" w:tplc="A01CF1C6">
      <w:start w:val="1"/>
      <w:numFmt w:val="bullet"/>
      <w:lvlText w:val=""/>
      <w:lvlJc w:val="left"/>
      <w:pPr>
        <w:tabs>
          <w:tab w:val="left" w:pos="0"/>
        </w:tabs>
        <w:ind w:left="4368" w:hanging="360"/>
      </w:pPr>
      <w:rPr>
        <w:rFonts w:ascii="Wingdings" w:hAnsi="Wingdings" w:cs="Wingdings" w:hint="default"/>
      </w:rPr>
    </w:lvl>
    <w:lvl w:ilvl="6" w:tplc="BF8ACA7C">
      <w:start w:val="1"/>
      <w:numFmt w:val="bullet"/>
      <w:lvlText w:val=""/>
      <w:lvlJc w:val="left"/>
      <w:pPr>
        <w:tabs>
          <w:tab w:val="left" w:pos="0"/>
        </w:tabs>
        <w:ind w:left="5088" w:hanging="360"/>
      </w:pPr>
      <w:rPr>
        <w:rFonts w:ascii="Symbol" w:hAnsi="Symbol" w:cs="Symbol" w:hint="default"/>
      </w:rPr>
    </w:lvl>
    <w:lvl w:ilvl="7" w:tplc="ABFEDB5C">
      <w:start w:val="1"/>
      <w:numFmt w:val="bullet"/>
      <w:lvlText w:val="o"/>
      <w:lvlJc w:val="left"/>
      <w:pPr>
        <w:tabs>
          <w:tab w:val="left" w:pos="0"/>
        </w:tabs>
        <w:ind w:left="5808" w:hanging="360"/>
      </w:pPr>
      <w:rPr>
        <w:rFonts w:ascii="Courier New" w:hAnsi="Courier New" w:cs="Courier New" w:hint="default"/>
      </w:rPr>
    </w:lvl>
    <w:lvl w:ilvl="8" w:tplc="1A6E5C64">
      <w:start w:val="1"/>
      <w:numFmt w:val="bullet"/>
      <w:lvlText w:val=""/>
      <w:lvlJc w:val="left"/>
      <w:pPr>
        <w:tabs>
          <w:tab w:val="left" w:pos="0"/>
        </w:tabs>
        <w:ind w:left="6528" w:hanging="360"/>
      </w:pPr>
      <w:rPr>
        <w:rFonts w:ascii="Wingdings" w:hAnsi="Wingdings" w:cs="Wingdings" w:hint="default"/>
      </w:rPr>
    </w:lvl>
  </w:abstractNum>
  <w:abstractNum w:abstractNumId="57" w15:restartNumberingAfterBreak="0">
    <w:nsid w:val="7E7637D9"/>
    <w:multiLevelType w:val="hybridMultilevel"/>
    <w:tmpl w:val="6C766E56"/>
    <w:lvl w:ilvl="0" w:tplc="7CFC2B38">
      <w:start w:val="9"/>
      <w:numFmt w:val="upperLetter"/>
      <w:lvlText w:val="%1."/>
      <w:lvlJc w:val="left"/>
      <w:pPr>
        <w:tabs>
          <w:tab w:val="left" w:pos="0"/>
        </w:tabs>
        <w:ind w:left="720" w:hanging="360"/>
      </w:pPr>
    </w:lvl>
    <w:lvl w:ilvl="1" w:tplc="919ED8D4">
      <w:start w:val="1"/>
      <w:numFmt w:val="lowerLetter"/>
      <w:lvlText w:val="%2."/>
      <w:lvlJc w:val="left"/>
      <w:pPr>
        <w:tabs>
          <w:tab w:val="left" w:pos="0"/>
        </w:tabs>
        <w:ind w:left="1440" w:hanging="360"/>
      </w:pPr>
    </w:lvl>
    <w:lvl w:ilvl="2" w:tplc="CB88DB8C">
      <w:start w:val="1"/>
      <w:numFmt w:val="lowerRoman"/>
      <w:lvlText w:val="%3."/>
      <w:lvlJc w:val="right"/>
      <w:pPr>
        <w:tabs>
          <w:tab w:val="left" w:pos="0"/>
        </w:tabs>
        <w:ind w:left="2160" w:hanging="180"/>
      </w:pPr>
    </w:lvl>
    <w:lvl w:ilvl="3" w:tplc="0F14EA3E">
      <w:start w:val="1"/>
      <w:numFmt w:val="decimal"/>
      <w:lvlText w:val="%4."/>
      <w:lvlJc w:val="left"/>
      <w:pPr>
        <w:tabs>
          <w:tab w:val="left" w:pos="0"/>
        </w:tabs>
        <w:ind w:left="2880" w:hanging="360"/>
      </w:pPr>
    </w:lvl>
    <w:lvl w:ilvl="4" w:tplc="FD82210A">
      <w:start w:val="1"/>
      <w:numFmt w:val="lowerLetter"/>
      <w:lvlText w:val="%5."/>
      <w:lvlJc w:val="left"/>
      <w:pPr>
        <w:tabs>
          <w:tab w:val="left" w:pos="0"/>
        </w:tabs>
        <w:ind w:left="3600" w:hanging="360"/>
      </w:pPr>
    </w:lvl>
    <w:lvl w:ilvl="5" w:tplc="DB364576">
      <w:start w:val="1"/>
      <w:numFmt w:val="lowerRoman"/>
      <w:lvlText w:val="%6."/>
      <w:lvlJc w:val="right"/>
      <w:pPr>
        <w:tabs>
          <w:tab w:val="left" w:pos="0"/>
        </w:tabs>
        <w:ind w:left="4320" w:hanging="180"/>
      </w:pPr>
    </w:lvl>
    <w:lvl w:ilvl="6" w:tplc="12BAD33E">
      <w:start w:val="1"/>
      <w:numFmt w:val="decimal"/>
      <w:lvlText w:val="%7."/>
      <w:lvlJc w:val="left"/>
      <w:pPr>
        <w:tabs>
          <w:tab w:val="left" w:pos="0"/>
        </w:tabs>
        <w:ind w:left="5040" w:hanging="360"/>
      </w:pPr>
    </w:lvl>
    <w:lvl w:ilvl="7" w:tplc="793ECA86">
      <w:start w:val="1"/>
      <w:numFmt w:val="lowerLetter"/>
      <w:lvlText w:val="%8."/>
      <w:lvlJc w:val="left"/>
      <w:pPr>
        <w:tabs>
          <w:tab w:val="left" w:pos="0"/>
        </w:tabs>
        <w:ind w:left="5760" w:hanging="360"/>
      </w:pPr>
    </w:lvl>
    <w:lvl w:ilvl="8" w:tplc="F7F2C738">
      <w:start w:val="1"/>
      <w:numFmt w:val="lowerRoman"/>
      <w:lvlText w:val="%9."/>
      <w:lvlJc w:val="right"/>
      <w:pPr>
        <w:tabs>
          <w:tab w:val="left" w:pos="0"/>
        </w:tabs>
        <w:ind w:left="6480" w:hanging="180"/>
      </w:pPr>
    </w:lvl>
  </w:abstractNum>
  <w:abstractNum w:abstractNumId="58" w15:restartNumberingAfterBreak="0">
    <w:nsid w:val="7FDA13F1"/>
    <w:multiLevelType w:val="hybridMultilevel"/>
    <w:tmpl w:val="8C32F054"/>
    <w:lvl w:ilvl="0" w:tplc="843EDC10">
      <w:start w:val="1"/>
      <w:numFmt w:val="decimal"/>
      <w:lvlText w:val="%1."/>
      <w:lvlJc w:val="left"/>
      <w:pPr>
        <w:tabs>
          <w:tab w:val="left" w:pos="0"/>
        </w:tabs>
        <w:ind w:left="1080" w:hanging="360"/>
      </w:pPr>
    </w:lvl>
    <w:lvl w:ilvl="1" w:tplc="0EBEF720">
      <w:start w:val="1"/>
      <w:numFmt w:val="lowerLetter"/>
      <w:lvlText w:val="%2."/>
      <w:lvlJc w:val="left"/>
      <w:pPr>
        <w:tabs>
          <w:tab w:val="left" w:pos="0"/>
        </w:tabs>
        <w:ind w:left="1800" w:hanging="360"/>
      </w:pPr>
    </w:lvl>
    <w:lvl w:ilvl="2" w:tplc="13DE776C">
      <w:start w:val="1"/>
      <w:numFmt w:val="lowerRoman"/>
      <w:pStyle w:val="Heading3"/>
      <w:lvlText w:val="%3."/>
      <w:lvlJc w:val="right"/>
      <w:pPr>
        <w:tabs>
          <w:tab w:val="left" w:pos="0"/>
        </w:tabs>
        <w:ind w:left="2520" w:hanging="180"/>
      </w:pPr>
    </w:lvl>
    <w:lvl w:ilvl="3" w:tplc="ECFADA48">
      <w:start w:val="1"/>
      <w:numFmt w:val="decimal"/>
      <w:pStyle w:val="Heading4"/>
      <w:lvlText w:val="%4."/>
      <w:lvlJc w:val="left"/>
      <w:pPr>
        <w:tabs>
          <w:tab w:val="left" w:pos="0"/>
        </w:tabs>
        <w:ind w:left="3240" w:hanging="360"/>
      </w:pPr>
    </w:lvl>
    <w:lvl w:ilvl="4" w:tplc="8C4CA73C">
      <w:start w:val="1"/>
      <w:numFmt w:val="lowerLetter"/>
      <w:pStyle w:val="Heading5"/>
      <w:lvlText w:val="%5."/>
      <w:lvlJc w:val="left"/>
      <w:pPr>
        <w:tabs>
          <w:tab w:val="left" w:pos="0"/>
        </w:tabs>
        <w:ind w:left="3960" w:hanging="360"/>
      </w:pPr>
    </w:lvl>
    <w:lvl w:ilvl="5" w:tplc="375AEA4C">
      <w:start w:val="1"/>
      <w:numFmt w:val="lowerRoman"/>
      <w:pStyle w:val="Heading6"/>
      <w:lvlText w:val="%6."/>
      <w:lvlJc w:val="right"/>
      <w:pPr>
        <w:tabs>
          <w:tab w:val="left" w:pos="0"/>
        </w:tabs>
        <w:ind w:left="4680" w:hanging="180"/>
      </w:pPr>
    </w:lvl>
    <w:lvl w:ilvl="6" w:tplc="07B859BA">
      <w:start w:val="1"/>
      <w:numFmt w:val="decimal"/>
      <w:pStyle w:val="Heading7"/>
      <w:lvlText w:val="%7."/>
      <w:lvlJc w:val="left"/>
      <w:pPr>
        <w:tabs>
          <w:tab w:val="left" w:pos="0"/>
        </w:tabs>
        <w:ind w:left="5400" w:hanging="360"/>
      </w:pPr>
    </w:lvl>
    <w:lvl w:ilvl="7" w:tplc="C87E4754">
      <w:start w:val="1"/>
      <w:numFmt w:val="lowerLetter"/>
      <w:pStyle w:val="Heading8"/>
      <w:lvlText w:val="%8."/>
      <w:lvlJc w:val="left"/>
      <w:pPr>
        <w:tabs>
          <w:tab w:val="left" w:pos="0"/>
        </w:tabs>
        <w:ind w:left="6120" w:hanging="360"/>
      </w:pPr>
    </w:lvl>
    <w:lvl w:ilvl="8" w:tplc="F4AAC414">
      <w:start w:val="1"/>
      <w:numFmt w:val="lowerRoman"/>
      <w:pStyle w:val="Heading9"/>
      <w:lvlText w:val="%9."/>
      <w:lvlJc w:val="right"/>
      <w:pPr>
        <w:tabs>
          <w:tab w:val="left" w:pos="0"/>
        </w:tabs>
        <w:ind w:left="6840" w:hanging="180"/>
      </w:pPr>
    </w:lvl>
  </w:abstractNum>
  <w:num w:numId="1" w16cid:durableId="1550218596">
    <w:abstractNumId w:val="58"/>
  </w:num>
  <w:num w:numId="2" w16cid:durableId="1242566113">
    <w:abstractNumId w:val="10"/>
  </w:num>
  <w:num w:numId="3" w16cid:durableId="1102143512">
    <w:abstractNumId w:val="9"/>
  </w:num>
  <w:num w:numId="4" w16cid:durableId="369570359">
    <w:abstractNumId w:val="53"/>
  </w:num>
  <w:num w:numId="5" w16cid:durableId="536116992">
    <w:abstractNumId w:val="38"/>
  </w:num>
  <w:num w:numId="6" w16cid:durableId="1561136677">
    <w:abstractNumId w:val="13"/>
  </w:num>
  <w:num w:numId="7" w16cid:durableId="1987856385">
    <w:abstractNumId w:val="37"/>
  </w:num>
  <w:num w:numId="8" w16cid:durableId="1820147196">
    <w:abstractNumId w:val="14"/>
  </w:num>
  <w:num w:numId="9" w16cid:durableId="902330643">
    <w:abstractNumId w:val="7"/>
  </w:num>
  <w:num w:numId="10" w16cid:durableId="1632634632">
    <w:abstractNumId w:val="56"/>
  </w:num>
  <w:num w:numId="11" w16cid:durableId="472451161">
    <w:abstractNumId w:val="49"/>
  </w:num>
  <w:num w:numId="12" w16cid:durableId="1949506883">
    <w:abstractNumId w:val="0"/>
  </w:num>
  <w:num w:numId="13" w16cid:durableId="1967738481">
    <w:abstractNumId w:val="40"/>
  </w:num>
  <w:num w:numId="14" w16cid:durableId="85351564">
    <w:abstractNumId w:val="16"/>
  </w:num>
  <w:num w:numId="15" w16cid:durableId="1768381382">
    <w:abstractNumId w:val="52"/>
  </w:num>
  <w:num w:numId="16" w16cid:durableId="1015226804">
    <w:abstractNumId w:val="34"/>
  </w:num>
  <w:num w:numId="17" w16cid:durableId="347103192">
    <w:abstractNumId w:val="17"/>
  </w:num>
  <w:num w:numId="18" w16cid:durableId="920988057">
    <w:abstractNumId w:val="54"/>
  </w:num>
  <w:num w:numId="19" w16cid:durableId="7367373">
    <w:abstractNumId w:val="42"/>
  </w:num>
  <w:num w:numId="20" w16cid:durableId="1668946751">
    <w:abstractNumId w:val="18"/>
  </w:num>
  <w:num w:numId="21" w16cid:durableId="398939485">
    <w:abstractNumId w:val="57"/>
  </w:num>
  <w:num w:numId="22" w16cid:durableId="2116823619">
    <w:abstractNumId w:val="35"/>
    <w:lvlOverride w:ilvl="0">
      <w:startOverride w:val="1"/>
    </w:lvlOverride>
  </w:num>
  <w:num w:numId="23" w16cid:durableId="151945187">
    <w:abstractNumId w:val="35"/>
  </w:num>
  <w:num w:numId="24" w16cid:durableId="295184714">
    <w:abstractNumId w:val="39"/>
  </w:num>
  <w:num w:numId="25" w16cid:durableId="1437869449">
    <w:abstractNumId w:val="29"/>
  </w:num>
  <w:num w:numId="26" w16cid:durableId="1653826373">
    <w:abstractNumId w:val="46"/>
  </w:num>
  <w:num w:numId="27" w16cid:durableId="735131086">
    <w:abstractNumId w:val="48"/>
  </w:num>
  <w:num w:numId="28" w16cid:durableId="2099325297">
    <w:abstractNumId w:val="32"/>
  </w:num>
  <w:num w:numId="29" w16cid:durableId="1521552577">
    <w:abstractNumId w:val="33"/>
  </w:num>
  <w:num w:numId="30" w16cid:durableId="537478172">
    <w:abstractNumId w:val="36"/>
  </w:num>
  <w:num w:numId="31" w16cid:durableId="1189098272">
    <w:abstractNumId w:val="28"/>
  </w:num>
  <w:num w:numId="32" w16cid:durableId="1420105584">
    <w:abstractNumId w:val="1"/>
  </w:num>
  <w:num w:numId="33" w16cid:durableId="1087076697">
    <w:abstractNumId w:val="31"/>
  </w:num>
  <w:num w:numId="34" w16cid:durableId="1799226402">
    <w:abstractNumId w:val="26"/>
  </w:num>
  <w:num w:numId="35" w16cid:durableId="1328099176">
    <w:abstractNumId w:val="20"/>
  </w:num>
  <w:num w:numId="36" w16cid:durableId="904878665">
    <w:abstractNumId w:val="15"/>
  </w:num>
  <w:num w:numId="37" w16cid:durableId="1371999750">
    <w:abstractNumId w:val="25"/>
  </w:num>
  <w:num w:numId="38" w16cid:durableId="581838991">
    <w:abstractNumId w:val="24"/>
  </w:num>
  <w:num w:numId="39" w16cid:durableId="2137408875">
    <w:abstractNumId w:val="2"/>
  </w:num>
  <w:num w:numId="40" w16cid:durableId="423036666">
    <w:abstractNumId w:val="8"/>
  </w:num>
  <w:num w:numId="41" w16cid:durableId="1570266801">
    <w:abstractNumId w:val="5"/>
  </w:num>
  <w:num w:numId="42" w16cid:durableId="1621230802">
    <w:abstractNumId w:val="21"/>
  </w:num>
  <w:num w:numId="43" w16cid:durableId="841314136">
    <w:abstractNumId w:val="4"/>
  </w:num>
  <w:num w:numId="44" w16cid:durableId="1758285634">
    <w:abstractNumId w:val="12"/>
  </w:num>
  <w:num w:numId="45" w16cid:durableId="1250848738">
    <w:abstractNumId w:val="47"/>
  </w:num>
  <w:num w:numId="46" w16cid:durableId="1725831819">
    <w:abstractNumId w:val="51"/>
  </w:num>
  <w:num w:numId="47" w16cid:durableId="1395591576">
    <w:abstractNumId w:val="22"/>
  </w:num>
  <w:num w:numId="48" w16cid:durableId="1249923536">
    <w:abstractNumId w:val="41"/>
  </w:num>
  <w:num w:numId="49" w16cid:durableId="1736470473">
    <w:abstractNumId w:val="30"/>
  </w:num>
  <w:num w:numId="50" w16cid:durableId="1766878035">
    <w:abstractNumId w:val="19"/>
  </w:num>
  <w:num w:numId="51" w16cid:durableId="1530147949">
    <w:abstractNumId w:val="45"/>
  </w:num>
  <w:num w:numId="52" w16cid:durableId="759453323">
    <w:abstractNumId w:val="55"/>
  </w:num>
  <w:num w:numId="53" w16cid:durableId="1175531669">
    <w:abstractNumId w:val="6"/>
  </w:num>
  <w:num w:numId="54" w16cid:durableId="1726024468">
    <w:abstractNumId w:val="23"/>
  </w:num>
  <w:num w:numId="55" w16cid:durableId="1347052724">
    <w:abstractNumId w:val="3"/>
  </w:num>
  <w:num w:numId="56" w16cid:durableId="2104303091">
    <w:abstractNumId w:val="11"/>
  </w:num>
  <w:num w:numId="57" w16cid:durableId="2026204330">
    <w:abstractNumId w:val="50"/>
  </w:num>
  <w:num w:numId="58" w16cid:durableId="1908879942">
    <w:abstractNumId w:val="27"/>
  </w:num>
  <w:num w:numId="59" w16cid:durableId="2026247516">
    <w:abstractNumId w:val="43"/>
  </w:num>
  <w:num w:numId="60" w16cid:durableId="589698555">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7B7"/>
    <w:rsid w:val="00001DF4"/>
    <w:rsid w:val="00040D44"/>
    <w:rsid w:val="00047BDB"/>
    <w:rsid w:val="00095D1A"/>
    <w:rsid w:val="000A36C8"/>
    <w:rsid w:val="000B28DC"/>
    <w:rsid w:val="000D23DB"/>
    <w:rsid w:val="000F1625"/>
    <w:rsid w:val="000F7463"/>
    <w:rsid w:val="00122841"/>
    <w:rsid w:val="001A5246"/>
    <w:rsid w:val="001C0A94"/>
    <w:rsid w:val="001C291D"/>
    <w:rsid w:val="0022662D"/>
    <w:rsid w:val="00245051"/>
    <w:rsid w:val="0026793F"/>
    <w:rsid w:val="00296D3D"/>
    <w:rsid w:val="002E5930"/>
    <w:rsid w:val="002F7C59"/>
    <w:rsid w:val="003B6776"/>
    <w:rsid w:val="003C7E88"/>
    <w:rsid w:val="0041152A"/>
    <w:rsid w:val="0044289D"/>
    <w:rsid w:val="00491699"/>
    <w:rsid w:val="004C133F"/>
    <w:rsid w:val="004C68BF"/>
    <w:rsid w:val="004D0D84"/>
    <w:rsid w:val="004F1B1C"/>
    <w:rsid w:val="005039F6"/>
    <w:rsid w:val="00505CE9"/>
    <w:rsid w:val="00555B9F"/>
    <w:rsid w:val="00557014"/>
    <w:rsid w:val="0059359E"/>
    <w:rsid w:val="005B2335"/>
    <w:rsid w:val="005C45D9"/>
    <w:rsid w:val="005F0F69"/>
    <w:rsid w:val="005F61E2"/>
    <w:rsid w:val="006076B1"/>
    <w:rsid w:val="006268B1"/>
    <w:rsid w:val="00630630"/>
    <w:rsid w:val="00634A75"/>
    <w:rsid w:val="006E4C20"/>
    <w:rsid w:val="00761665"/>
    <w:rsid w:val="007879DB"/>
    <w:rsid w:val="00787F56"/>
    <w:rsid w:val="00790FAE"/>
    <w:rsid w:val="007B01F5"/>
    <w:rsid w:val="007E02DC"/>
    <w:rsid w:val="008504A1"/>
    <w:rsid w:val="00860B0B"/>
    <w:rsid w:val="00882FDF"/>
    <w:rsid w:val="008D524F"/>
    <w:rsid w:val="008F4833"/>
    <w:rsid w:val="00904F81"/>
    <w:rsid w:val="0090541A"/>
    <w:rsid w:val="00926EEA"/>
    <w:rsid w:val="00933789"/>
    <w:rsid w:val="009555F2"/>
    <w:rsid w:val="009C76AD"/>
    <w:rsid w:val="009E5ACE"/>
    <w:rsid w:val="009F5732"/>
    <w:rsid w:val="00A04CFD"/>
    <w:rsid w:val="00A12FC4"/>
    <w:rsid w:val="00A567F7"/>
    <w:rsid w:val="00A657B7"/>
    <w:rsid w:val="00A80D53"/>
    <w:rsid w:val="00AC05D3"/>
    <w:rsid w:val="00B17024"/>
    <w:rsid w:val="00B2700E"/>
    <w:rsid w:val="00B330F8"/>
    <w:rsid w:val="00B53E43"/>
    <w:rsid w:val="00B613FD"/>
    <w:rsid w:val="00BB5B28"/>
    <w:rsid w:val="00BE5515"/>
    <w:rsid w:val="00BF6B67"/>
    <w:rsid w:val="00C0006D"/>
    <w:rsid w:val="00C026E5"/>
    <w:rsid w:val="00C22717"/>
    <w:rsid w:val="00C573F2"/>
    <w:rsid w:val="00C6278D"/>
    <w:rsid w:val="00C80055"/>
    <w:rsid w:val="00CC5C88"/>
    <w:rsid w:val="00D36D36"/>
    <w:rsid w:val="00D475E8"/>
    <w:rsid w:val="00D725FE"/>
    <w:rsid w:val="00D72C0F"/>
    <w:rsid w:val="00D9463B"/>
    <w:rsid w:val="00DA7B9E"/>
    <w:rsid w:val="00DF6172"/>
    <w:rsid w:val="00E02F88"/>
    <w:rsid w:val="00E405D2"/>
    <w:rsid w:val="00E4634B"/>
    <w:rsid w:val="00E67BDF"/>
    <w:rsid w:val="00E77638"/>
    <w:rsid w:val="00E80411"/>
    <w:rsid w:val="00EA0A16"/>
    <w:rsid w:val="00EB5812"/>
    <w:rsid w:val="00EF7B42"/>
    <w:rsid w:val="00F137FD"/>
    <w:rsid w:val="00F31268"/>
    <w:rsid w:val="00F32CF8"/>
    <w:rsid w:val="00F54A3D"/>
    <w:rsid w:val="00F807E4"/>
    <w:rsid w:val="00FB4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8C10F"/>
  <w15:docId w15:val="{78DB6287-BC8A-4CB3-BA5E-8DBA6F54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024"/>
    <w:pPr>
      <w:spacing w:before="120" w:after="120"/>
      <w:ind w:left="720"/>
      <w:jc w:val="both"/>
    </w:pPr>
  </w:style>
  <w:style w:type="paragraph" w:styleId="Heading1">
    <w:name w:val="heading 1"/>
    <w:basedOn w:val="Normal"/>
    <w:next w:val="Normal"/>
    <w:link w:val="Heading1Char1"/>
    <w:uiPriority w:val="9"/>
    <w:qFormat/>
    <w:pPr>
      <w:keepNext/>
      <w:keepLines/>
      <w:spacing w:before="240" w:after="240"/>
      <w:outlineLvl w:val="0"/>
    </w:pPr>
    <w:rPr>
      <w:rFonts w:ascii="Calibri Light" w:eastAsia="Calibri Light" w:hAnsi="Calibri Light" w:cs="Calibri Light"/>
      <w:color w:val="3494BA" w:themeColor="accent1"/>
      <w:sz w:val="32"/>
      <w:szCs w:val="32"/>
    </w:rPr>
  </w:style>
  <w:style w:type="paragraph" w:styleId="Heading2">
    <w:name w:val="heading 2"/>
    <w:basedOn w:val="Normal"/>
    <w:next w:val="Normal"/>
    <w:link w:val="Heading2Char1"/>
    <w:uiPriority w:val="9"/>
    <w:unhideWhenUsed/>
    <w:qFormat/>
    <w:pPr>
      <w:keepNext/>
      <w:keepLines/>
      <w:spacing w:before="240" w:after="0"/>
      <w:outlineLvl w:val="1"/>
    </w:pPr>
    <w:rPr>
      <w:rFonts w:ascii="Calibri Light" w:eastAsia="Calibri Light" w:hAnsi="Calibri Light" w:cs="Calibri Light"/>
      <w:color w:val="3494BA" w:themeColor="accent1"/>
      <w:sz w:val="28"/>
      <w:szCs w:val="26"/>
    </w:rPr>
  </w:style>
  <w:style w:type="paragraph" w:styleId="Heading3">
    <w:name w:val="heading 3"/>
    <w:basedOn w:val="Normal"/>
    <w:next w:val="Normal"/>
    <w:link w:val="Heading3Char1"/>
    <w:uiPriority w:val="9"/>
    <w:unhideWhenUsed/>
    <w:qFormat/>
    <w:pPr>
      <w:keepNext/>
      <w:keepLines/>
      <w:numPr>
        <w:ilvl w:val="2"/>
        <w:numId w:val="1"/>
      </w:numPr>
      <w:spacing w:after="0"/>
      <w:outlineLvl w:val="2"/>
    </w:pPr>
    <w:rPr>
      <w:rFonts w:ascii="Calibri Light" w:eastAsia="Calibri Light" w:hAnsi="Calibri Light" w:cs="Calibri Light"/>
      <w:b/>
      <w:color w:val="3494BA" w:themeColor="accent1"/>
      <w:sz w:val="24"/>
      <w:szCs w:val="24"/>
    </w:rPr>
  </w:style>
  <w:style w:type="paragraph" w:styleId="Heading4">
    <w:name w:val="heading 4"/>
    <w:basedOn w:val="Normal"/>
    <w:next w:val="Normal"/>
    <w:link w:val="Heading4Char1"/>
    <w:uiPriority w:val="9"/>
    <w:unhideWhenUsed/>
    <w:qFormat/>
    <w:pPr>
      <w:keepNext/>
      <w:keepLines/>
      <w:numPr>
        <w:ilvl w:val="3"/>
        <w:numId w:val="1"/>
      </w:numPr>
      <w:spacing w:before="40" w:after="0"/>
      <w:outlineLvl w:val="3"/>
    </w:pPr>
    <w:rPr>
      <w:rFonts w:ascii="Calibri Light" w:eastAsia="Calibri Light" w:hAnsi="Calibri Light" w:cs="Calibri Light"/>
      <w:i/>
      <w:iCs/>
      <w:color w:val="276E8B" w:themeColor="accent1" w:themeShade="BF"/>
    </w:rPr>
  </w:style>
  <w:style w:type="paragraph" w:styleId="Heading5">
    <w:name w:val="heading 5"/>
    <w:basedOn w:val="Normal"/>
    <w:next w:val="Normal"/>
    <w:link w:val="Heading5Char1"/>
    <w:uiPriority w:val="9"/>
    <w:semiHidden/>
    <w:unhideWhenUsed/>
    <w:qFormat/>
    <w:pPr>
      <w:keepNext/>
      <w:keepLines/>
      <w:numPr>
        <w:ilvl w:val="4"/>
        <w:numId w:val="1"/>
      </w:numPr>
      <w:spacing w:before="40" w:after="0"/>
      <w:outlineLvl w:val="4"/>
    </w:pPr>
    <w:rPr>
      <w:rFonts w:ascii="Calibri Light" w:eastAsia="Calibri Light" w:hAnsi="Calibri Light" w:cs="Calibri Light"/>
      <w:color w:val="276E8B" w:themeColor="accent1" w:themeShade="BF"/>
    </w:rPr>
  </w:style>
  <w:style w:type="paragraph" w:styleId="Heading6">
    <w:name w:val="heading 6"/>
    <w:basedOn w:val="Normal"/>
    <w:next w:val="Normal"/>
    <w:link w:val="Heading6Char1"/>
    <w:uiPriority w:val="9"/>
    <w:semiHidden/>
    <w:unhideWhenUsed/>
    <w:qFormat/>
    <w:pPr>
      <w:keepNext/>
      <w:keepLines/>
      <w:numPr>
        <w:ilvl w:val="5"/>
        <w:numId w:val="1"/>
      </w:numPr>
      <w:spacing w:before="40" w:after="0"/>
      <w:outlineLvl w:val="5"/>
    </w:pPr>
    <w:rPr>
      <w:rFonts w:ascii="Calibri Light" w:eastAsia="Calibri Light" w:hAnsi="Calibri Light" w:cs="Calibri Light"/>
      <w:color w:val="1A495C" w:themeColor="accent1" w:themeShade="7F"/>
    </w:rPr>
  </w:style>
  <w:style w:type="paragraph" w:styleId="Heading7">
    <w:name w:val="heading 7"/>
    <w:basedOn w:val="Normal"/>
    <w:next w:val="Normal"/>
    <w:link w:val="Heading7Char1"/>
    <w:uiPriority w:val="9"/>
    <w:semiHidden/>
    <w:unhideWhenUsed/>
    <w:qFormat/>
    <w:pPr>
      <w:keepNext/>
      <w:keepLines/>
      <w:numPr>
        <w:ilvl w:val="6"/>
        <w:numId w:val="1"/>
      </w:numPr>
      <w:spacing w:before="40" w:after="0"/>
      <w:outlineLvl w:val="6"/>
    </w:pPr>
    <w:rPr>
      <w:rFonts w:ascii="Calibri Light" w:eastAsia="Calibri Light" w:hAnsi="Calibri Light" w:cs="Calibri Light"/>
      <w:i/>
      <w:iCs/>
      <w:color w:val="1A495C" w:themeColor="accent1" w:themeShade="7F"/>
    </w:rPr>
  </w:style>
  <w:style w:type="paragraph" w:styleId="Heading8">
    <w:name w:val="heading 8"/>
    <w:basedOn w:val="Normal"/>
    <w:next w:val="Normal"/>
    <w:link w:val="Heading8Char1"/>
    <w:uiPriority w:val="9"/>
    <w:semiHidden/>
    <w:unhideWhenUsed/>
    <w:qFormat/>
    <w:pPr>
      <w:keepNext/>
      <w:keepLines/>
      <w:numPr>
        <w:ilvl w:val="7"/>
        <w:numId w:val="1"/>
      </w:numPr>
      <w:spacing w:before="40" w:after="0"/>
      <w:outlineLvl w:val="7"/>
    </w:pPr>
    <w:rPr>
      <w:rFonts w:ascii="Calibri Light" w:eastAsia="Calibri Light" w:hAnsi="Calibri Light" w:cs="Calibri Light"/>
      <w:color w:val="272727" w:themeColor="text1" w:themeTint="D8"/>
      <w:sz w:val="21"/>
      <w:szCs w:val="21"/>
    </w:rPr>
  </w:style>
  <w:style w:type="paragraph" w:styleId="Heading9">
    <w:name w:val="heading 9"/>
    <w:basedOn w:val="Normal"/>
    <w:next w:val="Normal"/>
    <w:link w:val="Heading9Char1"/>
    <w:uiPriority w:val="9"/>
    <w:semiHidden/>
    <w:unhideWhenUsed/>
    <w:qFormat/>
    <w:pPr>
      <w:keepNext/>
      <w:keepLines/>
      <w:numPr>
        <w:ilvl w:val="8"/>
        <w:numId w:val="1"/>
      </w:numPr>
      <w:spacing w:before="40" w:after="0"/>
      <w:outlineLvl w:val="8"/>
    </w:pPr>
    <w:rPr>
      <w:rFonts w:ascii="Calibri Light" w:eastAsia="Calibri Light" w:hAnsi="Calibri Light" w:cs="Calibri Light"/>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insideH w:val="single" w:sz="4" w:space="0" w:color="A9D5E7" w:themeColor="accent1" w:themeTint="67"/>
        <w:insideV w:val="single" w:sz="4" w:space="0" w:color="A9D5E7" w:themeColor="accent1" w:themeTint="67"/>
      </w:tblBorders>
    </w:tblPr>
    <w:tblStylePr w:type="firstRow">
      <w:rPr>
        <w:b/>
        <w:color w:val="404040"/>
      </w:rPr>
      <w:tblPr/>
      <w:tcPr>
        <w:tcBorders>
          <w:bottom w:val="single" w:sz="12" w:space="0" w:color="82C2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insideH w:val="single" w:sz="4" w:space="0" w:color="BBE1E5" w:themeColor="accent2" w:themeTint="67"/>
        <w:insideV w:val="single" w:sz="4" w:space="0" w:color="BBE1E5" w:themeColor="accent2" w:themeTint="67"/>
      </w:tblBorders>
    </w:tblPr>
    <w:tblStylePr w:type="firstRow">
      <w:rPr>
        <w:b/>
        <w:color w:val="404040"/>
      </w:rPr>
      <w:tblPr/>
      <w:tcPr>
        <w:tcBorders>
          <w:bottom w:val="single" w:sz="12" w:space="0" w:color="9DD4DA"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insideH w:val="single" w:sz="4" w:space="0" w:color="C7E4DB" w:themeColor="accent3" w:themeTint="67"/>
        <w:insideV w:val="single" w:sz="4" w:space="0" w:color="C7E4DB" w:themeColor="accent3" w:themeTint="67"/>
      </w:tblBorders>
    </w:tblPr>
    <w:tblStylePr w:type="firstRow">
      <w:rPr>
        <w:b/>
        <w:color w:val="404040"/>
      </w:rPr>
      <w:tblPr/>
      <w:tcPr>
        <w:tcBorders>
          <w:bottom w:val="single" w:sz="12" w:space="0" w:color="AED8CB"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insideH w:val="single" w:sz="4" w:space="0" w:color="C9D0D1" w:themeColor="accent4" w:themeTint="67"/>
        <w:insideV w:val="single" w:sz="4" w:space="0" w:color="C9D0D1" w:themeColor="accent4" w:themeTint="67"/>
      </w:tblBorders>
    </w:tblPr>
    <w:tblStylePr w:type="firstRow">
      <w:rPr>
        <w:b/>
        <w:color w:val="404040"/>
      </w:rPr>
      <w:tblPr/>
      <w:tcPr>
        <w:tcBorders>
          <w:bottom w:val="single" w:sz="12" w:space="0" w:color="B1BBBD"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insideH w:val="single" w:sz="4" w:space="0" w:color="CDDDE1" w:themeColor="accent5" w:themeTint="67"/>
        <w:insideV w:val="single" w:sz="4" w:space="0" w:color="CDDDE1" w:themeColor="accent5" w:themeTint="67"/>
      </w:tblBorders>
    </w:tblPr>
    <w:tblStylePr w:type="firstRow">
      <w:rPr>
        <w:b/>
        <w:color w:val="404040"/>
      </w:rPr>
      <w:tblPr/>
      <w:tcPr>
        <w:tcBorders>
          <w:bottom w:val="single" w:sz="12" w:space="0" w:color="B7CED4"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insideH w:val="single" w:sz="4" w:space="0" w:color="A1CDED" w:themeColor="accent6" w:themeTint="67"/>
        <w:insideV w:val="single" w:sz="4" w:space="0" w:color="A1CDED" w:themeColor="accent6" w:themeTint="67"/>
      </w:tblBorders>
    </w:tblPr>
    <w:tblStylePr w:type="firstRow">
      <w:rPr>
        <w:b/>
        <w:color w:val="404040"/>
      </w:rPr>
      <w:tblPr/>
      <w:tcPr>
        <w:tcBorders>
          <w:bottom w:val="single" w:sz="12" w:space="0" w:color="78B7E5"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3BA0C8" w:themeColor="accent1" w:themeTint="EA"/>
        <w:insideH w:val="single" w:sz="4" w:space="0" w:color="3BA0C8" w:themeColor="accent1" w:themeTint="EA"/>
        <w:insideV w:val="single" w:sz="4" w:space="0" w:color="3BA0C8" w:themeColor="accent1" w:themeTint="EA"/>
      </w:tblBorders>
    </w:tblPr>
    <w:tblStylePr w:type="firstRow">
      <w:rPr>
        <w:b/>
        <w:color w:val="404040"/>
      </w:rPr>
      <w:tblPr/>
      <w:tcPr>
        <w:tcBorders>
          <w:top w:val="none" w:sz="4" w:space="0" w:color="000000"/>
          <w:left w:val="none" w:sz="4" w:space="0" w:color="000000"/>
          <w:bottom w:val="single" w:sz="12" w:space="0" w:color="3BA0C8" w:themeColor="accent1" w:themeTint="EA"/>
          <w:right w:val="none" w:sz="4" w:space="0" w:color="000000"/>
        </w:tcBorders>
        <w:shd w:val="clear" w:color="auto" w:fill="FFFFFF"/>
      </w:tcPr>
    </w:tblStylePr>
    <w:tblStylePr w:type="lastRow">
      <w:rPr>
        <w:b/>
        <w:color w:val="404040"/>
      </w:rPr>
      <w:tblPr/>
      <w:tcPr>
        <w:tcBorders>
          <w:top w:val="single" w:sz="4" w:space="0" w:color="3BA0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3E9F2" w:themeFill="accent1" w:themeFillTint="34"/>
      </w:tcPr>
    </w:tblStylePr>
    <w:tblStylePr w:type="band1Horz">
      <w:rPr>
        <w:rFonts w:ascii="Arial" w:hAnsi="Arial"/>
        <w:color w:val="404040"/>
        <w:sz w:val="22"/>
      </w:rPr>
      <w:tblPr/>
      <w:tcPr>
        <w:shd w:val="clear" w:color="auto" w:fill="D3E9F2"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404040"/>
      </w:rPr>
      <w:tblPr/>
      <w:tcPr>
        <w:tcBorders>
          <w:top w:val="none" w:sz="4" w:space="0" w:color="000000"/>
          <w:left w:val="none" w:sz="4" w:space="0" w:color="000000"/>
          <w:bottom w:val="single" w:sz="12" w:space="0" w:color="9CD3D9" w:themeColor="accent2" w:themeTint="97"/>
          <w:right w:val="none" w:sz="4" w:space="0" w:color="000000"/>
        </w:tcBorders>
        <w:shd w:val="clear" w:color="auto" w:fill="FFFFFF"/>
      </w:tcPr>
    </w:tblStylePr>
    <w:tblStylePr w:type="lastRow">
      <w:rPr>
        <w:b/>
        <w:color w:val="404040"/>
      </w:rPr>
      <w:tblPr/>
      <w:tcPr>
        <w:tcBorders>
          <w:top w:val="single" w:sz="4" w:space="0" w:color="9CD3D9"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404040"/>
      </w:rPr>
      <w:tblPr/>
      <w:tcPr>
        <w:tcBorders>
          <w:top w:val="none" w:sz="4" w:space="0" w:color="000000"/>
          <w:left w:val="none" w:sz="4" w:space="0" w:color="000000"/>
          <w:bottom w:val="single" w:sz="12" w:space="0" w:color="75BDA7" w:themeColor="accent3" w:themeTint="FE"/>
          <w:right w:val="none" w:sz="4" w:space="0" w:color="000000"/>
        </w:tcBorders>
        <w:shd w:val="clear" w:color="auto" w:fill="FFFFFF"/>
      </w:tcPr>
    </w:tblStylePr>
    <w:tblStylePr w:type="lastRow">
      <w:rPr>
        <w:b/>
        <w:color w:val="404040"/>
      </w:rPr>
      <w:tblPr/>
      <w:tcPr>
        <w:tcBorders>
          <w:top w:val="single" w:sz="4" w:space="0" w:color="75BDA7"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404040"/>
      </w:rPr>
      <w:tblPr/>
      <w:tcPr>
        <w:tcBorders>
          <w:top w:val="none" w:sz="4" w:space="0" w:color="000000"/>
          <w:left w:val="none" w:sz="4" w:space="0" w:color="000000"/>
          <w:bottom w:val="single" w:sz="12" w:space="0" w:color="AEB9BA" w:themeColor="accent4" w:themeTint="9A"/>
          <w:right w:val="none" w:sz="4" w:space="0" w:color="000000"/>
        </w:tcBorders>
        <w:shd w:val="clear" w:color="auto" w:fill="FFFFFF"/>
      </w:tcPr>
    </w:tblStylePr>
    <w:tblStylePr w:type="lastRow">
      <w:rPr>
        <w:b/>
        <w:color w:val="404040"/>
      </w:rPr>
      <w:tblPr/>
      <w:tcPr>
        <w:tcBorders>
          <w:top w:val="single" w:sz="4" w:space="0" w:color="AEB9BA"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84ACB6" w:themeColor="accent5"/>
        <w:insideH w:val="single" w:sz="4" w:space="0" w:color="84ACB6" w:themeColor="accent5"/>
        <w:insideV w:val="single" w:sz="4" w:space="0" w:color="84ACB6" w:themeColor="accent5"/>
      </w:tblBorders>
    </w:tblPr>
    <w:tblStylePr w:type="firstRow">
      <w:rPr>
        <w:b/>
        <w:color w:val="404040"/>
      </w:rPr>
      <w:tblPr/>
      <w:tcPr>
        <w:tcBorders>
          <w:top w:val="none" w:sz="4" w:space="0" w:color="000000"/>
          <w:left w:val="none" w:sz="4" w:space="0" w:color="000000"/>
          <w:bottom w:val="single" w:sz="12" w:space="0" w:color="84ACB6" w:themeColor="accent5"/>
          <w:right w:val="none" w:sz="4" w:space="0" w:color="000000"/>
        </w:tcBorders>
        <w:shd w:val="clear" w:color="auto" w:fill="FFFFFF"/>
      </w:tcPr>
    </w:tblStylePr>
    <w:tblStylePr w:type="lastRow">
      <w:rPr>
        <w:b/>
        <w:color w:val="404040"/>
      </w:rPr>
      <w:tblPr/>
      <w:tcPr>
        <w:tcBorders>
          <w:top w:val="single" w:sz="4" w:space="0" w:color="84ACB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2683C6" w:themeColor="accent6"/>
        <w:insideH w:val="single" w:sz="4" w:space="0" w:color="2683C6" w:themeColor="accent6"/>
        <w:insideV w:val="single" w:sz="4" w:space="0" w:color="2683C6" w:themeColor="accent6"/>
      </w:tblBorders>
    </w:tblPr>
    <w:tblStylePr w:type="firstRow">
      <w:rPr>
        <w:b/>
        <w:color w:val="404040"/>
      </w:rPr>
      <w:tblPr/>
      <w:tcPr>
        <w:tcBorders>
          <w:top w:val="none" w:sz="4" w:space="0" w:color="000000"/>
          <w:left w:val="none" w:sz="4" w:space="0" w:color="000000"/>
          <w:bottom w:val="single" w:sz="12" w:space="0" w:color="2683C6" w:themeColor="accent6"/>
          <w:right w:val="none" w:sz="4" w:space="0" w:color="000000"/>
        </w:tcBorders>
        <w:shd w:val="clear" w:color="auto" w:fill="FFFFFF"/>
      </w:tcPr>
    </w:tblStylePr>
    <w:tblStylePr w:type="lastRow">
      <w:rPr>
        <w:b/>
        <w:color w:val="404040"/>
      </w:rPr>
      <w:tblPr/>
      <w:tcPr>
        <w:tcBorders>
          <w:top w:val="single" w:sz="4" w:space="0" w:color="2683C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3BA0C8" w:themeColor="accent1" w:themeTint="EA"/>
        <w:insideH w:val="single" w:sz="4" w:space="0" w:color="3BA0C8" w:themeColor="accent1" w:themeTint="EA"/>
        <w:insideV w:val="single" w:sz="4" w:space="0" w:color="3BA0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3E9F2" w:themeFill="accent1" w:themeFillTint="34"/>
      </w:tcPr>
    </w:tblStylePr>
    <w:tblStylePr w:type="band1Horz">
      <w:rPr>
        <w:rFonts w:ascii="Arial" w:hAnsi="Arial"/>
        <w:color w:val="404040"/>
        <w:sz w:val="22"/>
      </w:rPr>
      <w:tblPr/>
      <w:tcPr>
        <w:shd w:val="clear" w:color="auto" w:fill="D3E9F2"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84ACB6" w:themeColor="accent5"/>
        <w:insideH w:val="single" w:sz="4" w:space="0" w:color="84ACB6" w:themeColor="accent5"/>
        <w:insideV w:val="single" w:sz="4" w:space="0" w:color="84ACB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2683C6" w:themeColor="accent6"/>
        <w:insideH w:val="single" w:sz="4" w:space="0" w:color="2683C6" w:themeColor="accent6"/>
        <w:insideV w:val="single" w:sz="4" w:space="0" w:color="2683C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49"/>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one" w:sz="4" w:space="0" w:color="000000"/>
          <w:insideV w:val="none" w:sz="4" w:space="0" w:color="000000"/>
        </w:tcBorders>
        <w:shd w:val="clear" w:color="auto" w:fill="3494BA" w:themeFill="accent1"/>
      </w:tcPr>
    </w:tblStylePr>
    <w:tblStylePr w:type="lastRow">
      <w:rPr>
        <w:b/>
        <w:bCs/>
      </w:rPr>
      <w:tblPr/>
      <w:tcPr>
        <w:tcBorders>
          <w:top w:val="sing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dTable4-Accent2">
    <w:name w:val="Grid Table 4 Accent 2"/>
    <w:basedOn w:val="TableNormal"/>
    <w:uiPriority w:val="59"/>
    <w:tblPr>
      <w:tblStyleRowBandSize w:val="1"/>
      <w:tblStyleColBandSize w:val="1"/>
      <w:tblBorders>
        <w:top w:val="single" w:sz="4" w:space="0" w:color="A0D5DB" w:themeColor="accent2" w:themeTint="90"/>
        <w:left w:val="single" w:sz="4" w:space="0" w:color="A0D5DB" w:themeColor="accent2" w:themeTint="90"/>
        <w:bottom w:val="single" w:sz="4" w:space="0" w:color="A0D5DB" w:themeColor="accent2" w:themeTint="90"/>
        <w:right w:val="single" w:sz="4" w:space="0" w:color="A0D5DB" w:themeColor="accent2" w:themeTint="90"/>
        <w:insideH w:val="single" w:sz="4" w:space="0" w:color="A0D5DB" w:themeColor="accent2" w:themeTint="90"/>
        <w:insideV w:val="single" w:sz="4" w:space="0" w:color="A0D5DB" w:themeColor="accent2" w:themeTint="90"/>
      </w:tblBorders>
    </w:tblPr>
    <w:tblStylePr w:type="firstRow">
      <w:rPr>
        <w:rFonts w:ascii="Arial" w:hAnsi="Arial"/>
        <w:b/>
        <w:color w:val="FFFFFF"/>
        <w:sz w:val="22"/>
      </w:rPr>
      <w:tblPr/>
      <w:tcPr>
        <w:tc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tcBorders>
        <w:shd w:val="clear" w:color="auto" w:fill="9CD3D9" w:themeFill="accent2" w:themeFillTint="97"/>
      </w:tcPr>
    </w:tblStylePr>
    <w:tblStylePr w:type="lastRow">
      <w:rPr>
        <w:b/>
        <w:color w:val="404040"/>
      </w:rPr>
      <w:tblPr/>
      <w:tcPr>
        <w:tcBorders>
          <w:top w:val="single" w:sz="4" w:space="0" w:color="9CD3D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Pr/>
      <w:tcPr>
        <w:shd w:val="clear" w:color="auto" w:fill="DEF0F2"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B0D9CD" w:themeColor="accent3" w:themeTint="90"/>
        <w:left w:val="single" w:sz="4" w:space="0" w:color="B0D9CD" w:themeColor="accent3" w:themeTint="90"/>
        <w:bottom w:val="single" w:sz="4" w:space="0" w:color="B0D9CD" w:themeColor="accent3" w:themeTint="90"/>
        <w:right w:val="single" w:sz="4" w:space="0" w:color="B0D9CD" w:themeColor="accent3" w:themeTint="90"/>
        <w:insideH w:val="single" w:sz="4" w:space="0" w:color="B0D9CD" w:themeColor="accent3" w:themeTint="90"/>
        <w:insideV w:val="single" w:sz="4" w:space="0" w:color="B0D9CD" w:themeColor="accent3" w:themeTint="90"/>
      </w:tblBorders>
    </w:tblPr>
    <w:tblStylePr w:type="firstRow">
      <w:rPr>
        <w:rFonts w:ascii="Arial" w:hAnsi="Arial"/>
        <w:b/>
        <w:color w:val="FFFFFF"/>
        <w:sz w:val="22"/>
      </w:rPr>
      <w:tblPr/>
      <w:tcPr>
        <w:tcBorders>
          <w:top w:val="single" w:sz="4" w:space="0" w:color="75BDA7" w:themeColor="accent3" w:themeTint="FE"/>
          <w:left w:val="single" w:sz="4" w:space="0" w:color="75BDA7" w:themeColor="accent3" w:themeTint="FE"/>
          <w:bottom w:val="single" w:sz="4" w:space="0" w:color="75BDA7" w:themeColor="accent3" w:themeTint="FE"/>
          <w:right w:val="single" w:sz="4" w:space="0" w:color="75BDA7" w:themeColor="accent3" w:themeTint="FE"/>
        </w:tcBorders>
        <w:shd w:val="clear" w:color="auto" w:fill="75BDA7" w:themeFill="accent3" w:themeFillTint="FE"/>
      </w:tcPr>
    </w:tblStylePr>
    <w:tblStylePr w:type="lastRow">
      <w:rPr>
        <w:b/>
        <w:color w:val="404040"/>
      </w:rPr>
      <w:tblPr/>
      <w:tcPr>
        <w:tcBorders>
          <w:top w:val="single" w:sz="4" w:space="0" w:color="75BDA7"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Pr/>
      <w:tcPr>
        <w:shd w:val="clear" w:color="auto" w:fill="E2F1ED"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3BEBF" w:themeColor="accent4" w:themeTint="90"/>
        <w:left w:val="single" w:sz="4" w:space="0" w:color="B3BEBF" w:themeColor="accent4" w:themeTint="90"/>
        <w:bottom w:val="single" w:sz="4" w:space="0" w:color="B3BEBF" w:themeColor="accent4" w:themeTint="90"/>
        <w:right w:val="single" w:sz="4" w:space="0" w:color="B3BEBF" w:themeColor="accent4" w:themeTint="90"/>
        <w:insideH w:val="single" w:sz="4" w:space="0" w:color="B3BEBF" w:themeColor="accent4" w:themeTint="90"/>
        <w:insideV w:val="single" w:sz="4" w:space="0" w:color="B3BEBF" w:themeColor="accent4" w:themeTint="90"/>
      </w:tblBorders>
    </w:tblPr>
    <w:tblStylePr w:type="firstRow">
      <w:rPr>
        <w:rFonts w:ascii="Arial" w:hAnsi="Arial"/>
        <w:b/>
        <w:color w:val="FFFFFF"/>
        <w:sz w:val="22"/>
      </w:rPr>
      <w:tblPr/>
      <w:tcPr>
        <w:tc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tcBorders>
        <w:shd w:val="clear" w:color="auto" w:fill="AEB9BA" w:themeFill="accent4" w:themeFillTint="9A"/>
      </w:tcPr>
    </w:tblStylePr>
    <w:tblStylePr w:type="lastRow">
      <w:rPr>
        <w:b/>
        <w:color w:val="404040"/>
      </w:rPr>
      <w:tblPr/>
      <w:tcPr>
        <w:tcBorders>
          <w:top w:val="single" w:sz="4" w:space="0" w:color="AEB9BA"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Pr/>
      <w:tcPr>
        <w:shd w:val="clear" w:color="auto" w:fill="E3E7E8"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B9D0D5" w:themeColor="accent5" w:themeTint="90"/>
        <w:left w:val="single" w:sz="4" w:space="0" w:color="B9D0D5" w:themeColor="accent5" w:themeTint="90"/>
        <w:bottom w:val="single" w:sz="4" w:space="0" w:color="B9D0D5" w:themeColor="accent5" w:themeTint="90"/>
        <w:right w:val="single" w:sz="4" w:space="0" w:color="B9D0D5" w:themeColor="accent5" w:themeTint="90"/>
        <w:insideH w:val="single" w:sz="4" w:space="0" w:color="B9D0D5" w:themeColor="accent5" w:themeTint="90"/>
        <w:insideV w:val="single" w:sz="4" w:space="0" w:color="B9D0D5" w:themeColor="accent5" w:themeTint="90"/>
      </w:tblBorders>
    </w:tblPr>
    <w:tblStylePr w:type="firstRow">
      <w:rPr>
        <w:rFonts w:ascii="Arial" w:hAnsi="Arial"/>
        <w:b/>
        <w:color w:val="FFFFFF"/>
        <w:sz w:val="22"/>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tcBorders>
        <w:shd w:val="clear" w:color="auto" w:fill="84ACB6" w:themeFill="accent5"/>
      </w:tcPr>
    </w:tblStylePr>
    <w:tblStylePr w:type="lastRow">
      <w:rPr>
        <w:b/>
        <w:color w:val="404040"/>
      </w:rPr>
      <w:tblPr/>
      <w:tcPr>
        <w:tcBorders>
          <w:top w:val="single" w:sz="4" w:space="0" w:color="84ACB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Pr/>
      <w:tcPr>
        <w:shd w:val="clear" w:color="auto" w:fill="E5EEF0"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7CB9E6" w:themeColor="accent6" w:themeTint="90"/>
        <w:left w:val="single" w:sz="4" w:space="0" w:color="7CB9E6" w:themeColor="accent6" w:themeTint="90"/>
        <w:bottom w:val="single" w:sz="4" w:space="0" w:color="7CB9E6" w:themeColor="accent6" w:themeTint="90"/>
        <w:right w:val="single" w:sz="4" w:space="0" w:color="7CB9E6" w:themeColor="accent6" w:themeTint="90"/>
        <w:insideH w:val="single" w:sz="4" w:space="0" w:color="7CB9E6" w:themeColor="accent6" w:themeTint="90"/>
        <w:insideV w:val="single" w:sz="4" w:space="0" w:color="7CB9E6" w:themeColor="accent6" w:themeTint="90"/>
      </w:tblBorders>
    </w:tblPr>
    <w:tblStylePr w:type="firstRow">
      <w:rPr>
        <w:rFonts w:ascii="Arial" w:hAnsi="Arial"/>
        <w:b/>
        <w:color w:val="FFFFFF"/>
        <w:sz w:val="22"/>
      </w:rPr>
      <w:tblPr/>
      <w:tcPr>
        <w:tcBorders>
          <w:top w:val="single" w:sz="4" w:space="0" w:color="2683C6" w:themeColor="accent6"/>
          <w:left w:val="single" w:sz="4" w:space="0" w:color="2683C6" w:themeColor="accent6"/>
          <w:bottom w:val="single" w:sz="4" w:space="0" w:color="2683C6" w:themeColor="accent6"/>
          <w:right w:val="single" w:sz="4" w:space="0" w:color="2683C6" w:themeColor="accent6"/>
        </w:tcBorders>
        <w:shd w:val="clear" w:color="auto" w:fill="2683C6" w:themeFill="accent6"/>
      </w:tcPr>
    </w:tblStylePr>
    <w:tblStylePr w:type="lastRow">
      <w:rPr>
        <w:b/>
        <w:color w:val="404040"/>
      </w:rPr>
      <w:tblPr/>
      <w:tcPr>
        <w:tcBorders>
          <w:top w:val="single" w:sz="4" w:space="0" w:color="2683C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Pr/>
      <w:tcPr>
        <w:shd w:val="clear" w:color="auto" w:fill="D0E6F6"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3E9F2" w:themeFill="accent1" w:themeFillTint="34"/>
    </w:tblPr>
    <w:tblStylePr w:type="firstRow">
      <w:rPr>
        <w:rFonts w:ascii="Arial" w:hAnsi="Arial"/>
        <w:b/>
        <w:color w:val="FFFFFF"/>
        <w:sz w:val="22"/>
      </w:rPr>
      <w:tblPr/>
      <w:tcPr>
        <w:shd w:val="clear" w:color="auto" w:fill="3494BA" w:themeFill="accent1"/>
      </w:tcPr>
    </w:tblStylePr>
    <w:tblStylePr w:type="lastRow">
      <w:rPr>
        <w:rFonts w:ascii="Arial" w:hAnsi="Arial"/>
        <w:b/>
        <w:color w:val="FFFFFF"/>
        <w:sz w:val="22"/>
      </w:rPr>
      <w:tblPr/>
      <w:tcPr>
        <w:tcBorders>
          <w:top w:val="single" w:sz="4" w:space="0" w:color="FFFFFF" w:themeColor="light1"/>
        </w:tcBorders>
        <w:shd w:val="clear" w:color="auto" w:fill="3494BA" w:themeFill="accent1"/>
      </w:tcPr>
    </w:tblStylePr>
    <w:tblStylePr w:type="firstCol">
      <w:rPr>
        <w:rFonts w:ascii="Arial" w:hAnsi="Arial"/>
        <w:b/>
        <w:color w:val="FFFFFF"/>
        <w:sz w:val="22"/>
      </w:rPr>
      <w:tblPr/>
      <w:tcPr>
        <w:shd w:val="clear" w:color="auto" w:fill="3494BA" w:themeFill="accent1"/>
      </w:tcPr>
    </w:tblStylePr>
    <w:tblStylePr w:type="lastCol">
      <w:rPr>
        <w:rFonts w:ascii="Arial" w:hAnsi="Arial"/>
        <w:b/>
        <w:color w:val="FFFFFF"/>
        <w:sz w:val="22"/>
      </w:rPr>
      <w:tblPr/>
      <w:tcPr>
        <w:shd w:val="clear" w:color="auto" w:fill="3494BA" w:themeFill="accent1"/>
      </w:tcPr>
    </w:tblStylePr>
    <w:tblStylePr w:type="band1Vert">
      <w:tblPr/>
      <w:tcPr>
        <w:shd w:val="clear" w:color="auto" w:fill="9DCFE3" w:themeFill="accent1" w:themeFillTint="75"/>
      </w:tcPr>
    </w:tblStylePr>
    <w:tblStylePr w:type="band1Horz">
      <w:tblPr/>
      <w:tcPr>
        <w:shd w:val="clear" w:color="auto" w:fill="9DCFE3"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EF0F2" w:themeFill="accent2" w:themeFillTint="32"/>
    </w:tblPr>
    <w:tblStylePr w:type="firstRow">
      <w:rPr>
        <w:rFonts w:ascii="Arial" w:hAnsi="Arial"/>
        <w:b/>
        <w:color w:val="FFFFFF"/>
        <w:sz w:val="22"/>
      </w:rPr>
      <w:tblPr/>
      <w:tcPr>
        <w:shd w:val="clear" w:color="auto" w:fill="58B6C0" w:themeFill="accent2"/>
      </w:tcPr>
    </w:tblStylePr>
    <w:tblStylePr w:type="lastRow">
      <w:rPr>
        <w:rFonts w:ascii="Arial" w:hAnsi="Arial"/>
        <w:b/>
        <w:color w:val="FFFFFF"/>
        <w:sz w:val="22"/>
      </w:rPr>
      <w:tblPr/>
      <w:tcPr>
        <w:tcBorders>
          <w:top w:val="single" w:sz="4" w:space="0" w:color="FFFFFF" w:themeColor="light1"/>
        </w:tcBorders>
        <w:shd w:val="clear" w:color="auto" w:fill="58B6C0" w:themeFill="accent2"/>
      </w:tcPr>
    </w:tblStylePr>
    <w:tblStylePr w:type="firstCol">
      <w:rPr>
        <w:rFonts w:ascii="Arial" w:hAnsi="Arial"/>
        <w:b/>
        <w:color w:val="FFFFFF"/>
        <w:sz w:val="22"/>
      </w:rPr>
      <w:tblPr/>
      <w:tcPr>
        <w:shd w:val="clear" w:color="auto" w:fill="58B6C0" w:themeFill="accent2"/>
      </w:tcPr>
    </w:tblStylePr>
    <w:tblStylePr w:type="lastCol">
      <w:rPr>
        <w:rFonts w:ascii="Arial" w:hAnsi="Arial"/>
        <w:b/>
        <w:color w:val="FFFFFF"/>
        <w:sz w:val="22"/>
      </w:rPr>
      <w:tblPr/>
      <w:tcPr>
        <w:shd w:val="clear" w:color="auto" w:fill="58B6C0" w:themeFill="accent2"/>
      </w:tcPr>
    </w:tblStylePr>
    <w:tblStylePr w:type="band1Vert">
      <w:tblPr/>
      <w:tcPr>
        <w:shd w:val="clear" w:color="auto" w:fill="B2DDE2" w:themeFill="accent2" w:themeFillTint="75"/>
      </w:tcPr>
    </w:tblStylePr>
    <w:tblStylePr w:type="band1Horz">
      <w:tblPr/>
      <w:tcPr>
        <w:shd w:val="clear" w:color="auto" w:fill="B2DDE2"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2F1ED" w:themeFill="accent3" w:themeFillTint="34"/>
    </w:tblPr>
    <w:tblStylePr w:type="firstRow">
      <w:rPr>
        <w:rFonts w:ascii="Arial" w:hAnsi="Arial"/>
        <w:b/>
        <w:color w:val="FFFFFF"/>
        <w:sz w:val="22"/>
      </w:rPr>
      <w:tblPr/>
      <w:tcPr>
        <w:shd w:val="clear" w:color="auto" w:fill="75BDA7" w:themeFill="accent3"/>
      </w:tcPr>
    </w:tblStylePr>
    <w:tblStylePr w:type="lastRow">
      <w:rPr>
        <w:rFonts w:ascii="Arial" w:hAnsi="Arial"/>
        <w:b/>
        <w:color w:val="FFFFFF"/>
        <w:sz w:val="22"/>
      </w:rPr>
      <w:tblPr/>
      <w:tcPr>
        <w:tcBorders>
          <w:top w:val="single" w:sz="4" w:space="0" w:color="FFFFFF" w:themeColor="light1"/>
        </w:tcBorders>
        <w:shd w:val="clear" w:color="auto" w:fill="75BDA7" w:themeFill="accent3"/>
      </w:tcPr>
    </w:tblStylePr>
    <w:tblStylePr w:type="firstCol">
      <w:rPr>
        <w:rFonts w:ascii="Arial" w:hAnsi="Arial"/>
        <w:b/>
        <w:color w:val="FFFFFF"/>
        <w:sz w:val="22"/>
      </w:rPr>
      <w:tblPr/>
      <w:tcPr>
        <w:shd w:val="clear" w:color="auto" w:fill="75BDA7" w:themeFill="accent3"/>
      </w:tcPr>
    </w:tblStylePr>
    <w:tblStylePr w:type="lastCol">
      <w:rPr>
        <w:rFonts w:ascii="Arial" w:hAnsi="Arial"/>
        <w:b/>
        <w:color w:val="FFFFFF"/>
        <w:sz w:val="22"/>
      </w:rPr>
      <w:tblPr/>
      <w:tcPr>
        <w:shd w:val="clear" w:color="auto" w:fill="75BDA7" w:themeFill="accent3"/>
      </w:tcPr>
    </w:tblStylePr>
    <w:tblStylePr w:type="band1Vert">
      <w:tblPr/>
      <w:tcPr>
        <w:shd w:val="clear" w:color="auto" w:fill="BFE0D6" w:themeFill="accent3" w:themeFillTint="75"/>
      </w:tcPr>
    </w:tblStylePr>
    <w:tblStylePr w:type="band1Horz">
      <w:tblPr/>
      <w:tcPr>
        <w:shd w:val="clear" w:color="auto" w:fill="BFE0D6"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3E7E8" w:themeFill="accent4" w:themeFillTint="34"/>
    </w:tblPr>
    <w:tblStylePr w:type="firstRow">
      <w:rPr>
        <w:rFonts w:ascii="Arial" w:hAnsi="Arial"/>
        <w:b/>
        <w:color w:val="FFFFFF"/>
        <w:sz w:val="22"/>
      </w:rPr>
      <w:tblPr/>
      <w:tcPr>
        <w:shd w:val="clear" w:color="auto" w:fill="7A8C8E" w:themeFill="accent4"/>
      </w:tcPr>
    </w:tblStylePr>
    <w:tblStylePr w:type="lastRow">
      <w:rPr>
        <w:rFonts w:ascii="Arial" w:hAnsi="Arial"/>
        <w:b/>
        <w:color w:val="FFFFFF"/>
        <w:sz w:val="22"/>
      </w:rPr>
      <w:tblPr/>
      <w:tcPr>
        <w:tcBorders>
          <w:top w:val="single" w:sz="4" w:space="0" w:color="FFFFFF" w:themeColor="light1"/>
        </w:tcBorders>
        <w:shd w:val="clear" w:color="auto" w:fill="7A8C8E" w:themeFill="accent4"/>
      </w:tcPr>
    </w:tblStylePr>
    <w:tblStylePr w:type="firstCol">
      <w:rPr>
        <w:rFonts w:ascii="Arial" w:hAnsi="Arial"/>
        <w:b/>
        <w:color w:val="FFFFFF"/>
        <w:sz w:val="22"/>
      </w:rPr>
      <w:tblPr/>
      <w:tcPr>
        <w:shd w:val="clear" w:color="auto" w:fill="7A8C8E" w:themeFill="accent4"/>
      </w:tcPr>
    </w:tblStylePr>
    <w:tblStylePr w:type="lastCol">
      <w:rPr>
        <w:rFonts w:ascii="Arial" w:hAnsi="Arial"/>
        <w:b/>
        <w:color w:val="FFFFFF"/>
        <w:sz w:val="22"/>
      </w:rPr>
      <w:tblPr/>
      <w:tcPr>
        <w:shd w:val="clear" w:color="auto" w:fill="7A8C8E" w:themeFill="accent4"/>
      </w:tcPr>
    </w:tblStylePr>
    <w:tblStylePr w:type="band1Vert">
      <w:tblPr/>
      <w:tcPr>
        <w:shd w:val="clear" w:color="auto" w:fill="C1CACB" w:themeFill="accent4" w:themeFillTint="75"/>
      </w:tcPr>
    </w:tblStylePr>
    <w:tblStylePr w:type="band1Horz">
      <w:tblPr/>
      <w:tcPr>
        <w:shd w:val="clear" w:color="auto" w:fill="C1CACB"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EEF0" w:themeFill="accent5" w:themeFillTint="34"/>
    </w:tblPr>
    <w:tblStylePr w:type="firstRow">
      <w:rPr>
        <w:rFonts w:ascii="Arial" w:hAnsi="Arial"/>
        <w:b/>
        <w:color w:val="FFFFFF"/>
        <w:sz w:val="22"/>
      </w:rPr>
      <w:tblPr/>
      <w:tcPr>
        <w:shd w:val="clear" w:color="auto" w:fill="84ACB6" w:themeFill="accent5"/>
      </w:tcPr>
    </w:tblStylePr>
    <w:tblStylePr w:type="lastRow">
      <w:rPr>
        <w:rFonts w:ascii="Arial" w:hAnsi="Arial"/>
        <w:b/>
        <w:color w:val="FFFFFF"/>
        <w:sz w:val="22"/>
      </w:rPr>
      <w:tblPr/>
      <w:tcPr>
        <w:tcBorders>
          <w:top w:val="single" w:sz="4" w:space="0" w:color="FFFFFF" w:themeColor="light1"/>
        </w:tcBorders>
        <w:shd w:val="clear" w:color="auto" w:fill="84ACB6" w:themeFill="accent5"/>
      </w:tcPr>
    </w:tblStylePr>
    <w:tblStylePr w:type="firstCol">
      <w:rPr>
        <w:rFonts w:ascii="Arial" w:hAnsi="Arial"/>
        <w:b/>
        <w:color w:val="FFFFFF"/>
        <w:sz w:val="22"/>
      </w:rPr>
      <w:tblPr/>
      <w:tcPr>
        <w:shd w:val="clear" w:color="auto" w:fill="84ACB6" w:themeFill="accent5"/>
      </w:tcPr>
    </w:tblStylePr>
    <w:tblStylePr w:type="lastCol">
      <w:rPr>
        <w:rFonts w:ascii="Arial" w:hAnsi="Arial"/>
        <w:b/>
        <w:color w:val="FFFFFF"/>
        <w:sz w:val="22"/>
      </w:rPr>
      <w:tblPr/>
      <w:tcPr>
        <w:shd w:val="clear" w:color="auto" w:fill="84ACB6" w:themeFill="accent5"/>
      </w:tcPr>
    </w:tblStylePr>
    <w:tblStylePr w:type="band1Vert">
      <w:tblPr/>
      <w:tcPr>
        <w:shd w:val="clear" w:color="auto" w:fill="C6D8DD" w:themeFill="accent5" w:themeFillTint="75"/>
      </w:tcPr>
    </w:tblStylePr>
    <w:tblStylePr w:type="band1Horz">
      <w:tblPr/>
      <w:tcPr>
        <w:shd w:val="clear" w:color="auto" w:fill="C6D8DD"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0E6F6" w:themeFill="accent6" w:themeFillTint="34"/>
    </w:tblPr>
    <w:tblStylePr w:type="firstRow">
      <w:rPr>
        <w:rFonts w:ascii="Arial" w:hAnsi="Arial"/>
        <w:b/>
        <w:color w:val="FFFFFF"/>
        <w:sz w:val="22"/>
      </w:rPr>
      <w:tblPr/>
      <w:tcPr>
        <w:shd w:val="clear" w:color="auto" w:fill="2683C6" w:themeFill="accent6"/>
      </w:tcPr>
    </w:tblStylePr>
    <w:tblStylePr w:type="lastRow">
      <w:rPr>
        <w:rFonts w:ascii="Arial" w:hAnsi="Arial"/>
        <w:b/>
        <w:color w:val="FFFFFF"/>
        <w:sz w:val="22"/>
      </w:rPr>
      <w:tblPr/>
      <w:tcPr>
        <w:tcBorders>
          <w:top w:val="single" w:sz="4" w:space="0" w:color="FFFFFF" w:themeColor="light1"/>
        </w:tcBorders>
        <w:shd w:val="clear" w:color="auto" w:fill="2683C6" w:themeFill="accent6"/>
      </w:tcPr>
    </w:tblStylePr>
    <w:tblStylePr w:type="firstCol">
      <w:rPr>
        <w:rFonts w:ascii="Arial" w:hAnsi="Arial"/>
        <w:b/>
        <w:color w:val="FFFFFF"/>
        <w:sz w:val="22"/>
      </w:rPr>
      <w:tblPr/>
      <w:tcPr>
        <w:shd w:val="clear" w:color="auto" w:fill="2683C6" w:themeFill="accent6"/>
      </w:tcPr>
    </w:tblStylePr>
    <w:tblStylePr w:type="lastCol">
      <w:rPr>
        <w:rFonts w:ascii="Arial" w:hAnsi="Arial"/>
        <w:b/>
        <w:color w:val="FFFFFF"/>
        <w:sz w:val="22"/>
      </w:rPr>
      <w:tblPr/>
      <w:tcPr>
        <w:shd w:val="clear" w:color="auto" w:fill="2683C6" w:themeFill="accent6"/>
      </w:tcPr>
    </w:tblStylePr>
    <w:tblStylePr w:type="band1Vert">
      <w:tblPr/>
      <w:tcPr>
        <w:shd w:val="clear" w:color="auto" w:fill="95C6EA" w:themeFill="accent6" w:themeFillTint="75"/>
      </w:tcPr>
    </w:tblStylePr>
    <w:tblStylePr w:type="band1Horz">
      <w:tblPr/>
      <w:tcPr>
        <w:shd w:val="clear" w:color="auto" w:fill="95C6E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94CBE1" w:themeColor="accent1" w:themeTint="80"/>
        <w:left w:val="single" w:sz="4" w:space="0" w:color="94CBE1" w:themeColor="accent1" w:themeTint="80"/>
        <w:bottom w:val="single" w:sz="4" w:space="0" w:color="94CBE1" w:themeColor="accent1" w:themeTint="80"/>
        <w:right w:val="single" w:sz="4" w:space="0" w:color="94CBE1" w:themeColor="accent1" w:themeTint="80"/>
        <w:insideH w:val="single" w:sz="4" w:space="0" w:color="94CBE1" w:themeColor="accent1" w:themeTint="80"/>
        <w:insideV w:val="single" w:sz="4" w:space="0" w:color="94CBE1" w:themeColor="accent1" w:themeTint="80"/>
      </w:tblBorders>
    </w:tblPr>
    <w:tblStylePr w:type="firstRow">
      <w:rPr>
        <w:b/>
        <w:color w:val="94CBE1" w:themeColor="accent1" w:themeTint="80" w:themeShade="95"/>
      </w:rPr>
      <w:tblPr/>
      <w:tcPr>
        <w:tcBorders>
          <w:bottom w:val="single" w:sz="12" w:space="0" w:color="94CBE1" w:themeColor="accent1" w:themeTint="80"/>
        </w:tcBorders>
      </w:tcPr>
    </w:tblStylePr>
    <w:tblStylePr w:type="lastRow">
      <w:rPr>
        <w:b/>
        <w:color w:val="94CBE1" w:themeColor="accent1" w:themeTint="80" w:themeShade="95"/>
      </w:rPr>
    </w:tblStylePr>
    <w:tblStylePr w:type="firstCol">
      <w:rPr>
        <w:b/>
        <w:color w:val="94CBE1" w:themeColor="accent1" w:themeTint="80" w:themeShade="95"/>
      </w:rPr>
    </w:tblStylePr>
    <w:tblStylePr w:type="lastCol">
      <w:rPr>
        <w:b/>
        <w:color w:val="94CBE1" w:themeColor="accent1" w:themeTint="80" w:themeShade="95"/>
      </w:rPr>
    </w:tblStylePr>
    <w:tblStylePr w:type="band1Vert">
      <w:tblPr/>
      <w:tcPr>
        <w:shd w:val="clear" w:color="auto" w:fill="D3E9F2" w:themeFill="accent1" w:themeFillTint="34"/>
      </w:tcPr>
    </w:tblStylePr>
    <w:tblStylePr w:type="band1Horz">
      <w:rPr>
        <w:rFonts w:ascii="Arial" w:hAnsi="Arial"/>
        <w:color w:val="94CBE1" w:themeColor="accent1" w:themeTint="80" w:themeShade="95"/>
        <w:sz w:val="22"/>
      </w:rPr>
      <w:tblPr/>
      <w:tcPr>
        <w:shd w:val="clear" w:color="auto" w:fill="D3E9F2" w:themeFill="accent1" w:themeFillTint="34"/>
      </w:tcPr>
    </w:tblStylePr>
    <w:tblStylePr w:type="band2Horz">
      <w:rPr>
        <w:rFonts w:ascii="Arial" w:hAnsi="Arial"/>
        <w:color w:val="94CB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insideH w:val="single" w:sz="4" w:space="0" w:color="9CD3D9" w:themeColor="accent2" w:themeTint="97"/>
        <w:insideV w:val="single" w:sz="4" w:space="0" w:color="9CD3D9" w:themeColor="accent2" w:themeTint="97"/>
      </w:tblBorders>
    </w:tblPr>
    <w:tblStylePr w:type="firstRow">
      <w:rPr>
        <w:b/>
        <w:color w:val="9CD3D9" w:themeColor="accent2" w:themeTint="97" w:themeShade="95"/>
      </w:rPr>
      <w:tblPr/>
      <w:tcPr>
        <w:tcBorders>
          <w:bottom w:val="single" w:sz="12" w:space="0" w:color="9CD3D9" w:themeColor="accent2" w:themeTint="97"/>
        </w:tcBorders>
      </w:tcPr>
    </w:tblStylePr>
    <w:tblStylePr w:type="lastRow">
      <w:rPr>
        <w:b/>
        <w:color w:val="9CD3D9" w:themeColor="accent2" w:themeTint="97" w:themeShade="95"/>
      </w:rPr>
    </w:tblStylePr>
    <w:tblStylePr w:type="firstCol">
      <w:rPr>
        <w:b/>
        <w:color w:val="9CD3D9" w:themeColor="accent2" w:themeTint="97" w:themeShade="95"/>
      </w:rPr>
    </w:tblStylePr>
    <w:tblStylePr w:type="lastCol">
      <w:rPr>
        <w:b/>
        <w:color w:val="9CD3D9" w:themeColor="accent2" w:themeTint="97" w:themeShade="95"/>
      </w:rPr>
    </w:tblStylePr>
    <w:tblStylePr w:type="band1Vert">
      <w:tblPr/>
      <w:tcPr>
        <w:shd w:val="clear" w:color="auto" w:fill="DEF0F2" w:themeFill="accent2" w:themeFillTint="32"/>
      </w:tcPr>
    </w:tblStylePr>
    <w:tblStylePr w:type="band1Horz">
      <w:rPr>
        <w:rFonts w:ascii="Arial" w:hAnsi="Arial"/>
        <w:color w:val="9CD3D9" w:themeColor="accent2" w:themeTint="97" w:themeShade="95"/>
        <w:sz w:val="22"/>
      </w:rPr>
      <w:tblPr/>
      <w:tcPr>
        <w:shd w:val="clear" w:color="auto" w:fill="DEF0F2" w:themeFill="accent2" w:themeFillTint="32"/>
      </w:tcPr>
    </w:tblStylePr>
    <w:tblStylePr w:type="band2Horz">
      <w:rPr>
        <w:rFonts w:ascii="Arial" w:hAnsi="Arial"/>
        <w:color w:val="9CD3D9"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75BDA7" w:themeColor="accent3" w:themeTint="FE"/>
        <w:left w:val="single" w:sz="4" w:space="0" w:color="75BDA7" w:themeColor="accent3" w:themeTint="FE"/>
        <w:bottom w:val="single" w:sz="4" w:space="0" w:color="75BDA7" w:themeColor="accent3" w:themeTint="FE"/>
        <w:right w:val="single" w:sz="4" w:space="0" w:color="75BDA7" w:themeColor="accent3" w:themeTint="FE"/>
        <w:insideH w:val="single" w:sz="4" w:space="0" w:color="75BDA7" w:themeColor="accent3" w:themeTint="FE"/>
        <w:insideV w:val="single" w:sz="4" w:space="0" w:color="75BDA7" w:themeColor="accent3" w:themeTint="FE"/>
      </w:tblBorders>
    </w:tblPr>
    <w:tblStylePr w:type="firstRow">
      <w:rPr>
        <w:b/>
        <w:color w:val="75BDA7" w:themeColor="accent3" w:themeTint="FE" w:themeShade="95"/>
      </w:rPr>
      <w:tblPr/>
      <w:tcPr>
        <w:tcBorders>
          <w:bottom w:val="single" w:sz="12" w:space="0" w:color="75BDA7" w:themeColor="accent3" w:themeTint="FE"/>
        </w:tcBorders>
      </w:tcPr>
    </w:tblStylePr>
    <w:tblStylePr w:type="lastRow">
      <w:rPr>
        <w:b/>
        <w:color w:val="75BDA7" w:themeColor="accent3" w:themeTint="FE" w:themeShade="95"/>
      </w:rPr>
    </w:tblStylePr>
    <w:tblStylePr w:type="firstCol">
      <w:rPr>
        <w:b/>
        <w:color w:val="75BDA7" w:themeColor="accent3" w:themeTint="FE" w:themeShade="95"/>
      </w:rPr>
    </w:tblStylePr>
    <w:tblStylePr w:type="lastCol">
      <w:rPr>
        <w:b/>
        <w:color w:val="75BDA7" w:themeColor="accent3" w:themeTint="FE" w:themeShade="95"/>
      </w:rPr>
    </w:tblStylePr>
    <w:tblStylePr w:type="band1Vert">
      <w:tblPr/>
      <w:tcPr>
        <w:shd w:val="clear" w:color="auto" w:fill="E2F1ED" w:themeFill="accent3" w:themeFillTint="34"/>
      </w:tcPr>
    </w:tblStylePr>
    <w:tblStylePr w:type="band1Horz">
      <w:rPr>
        <w:rFonts w:ascii="Arial" w:hAnsi="Arial"/>
        <w:color w:val="75BDA7" w:themeColor="accent3" w:themeTint="FE" w:themeShade="95"/>
        <w:sz w:val="22"/>
      </w:rPr>
      <w:tblPr/>
      <w:tcPr>
        <w:shd w:val="clear" w:color="auto" w:fill="E2F1ED" w:themeFill="accent3" w:themeFillTint="34"/>
      </w:tcPr>
    </w:tblStylePr>
    <w:tblStylePr w:type="band2Horz">
      <w:rPr>
        <w:rFonts w:ascii="Arial" w:hAnsi="Arial"/>
        <w:color w:val="75BDA7"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insideH w:val="single" w:sz="4" w:space="0" w:color="AEB9BA" w:themeColor="accent4" w:themeTint="9A"/>
        <w:insideV w:val="single" w:sz="4" w:space="0" w:color="AEB9BA" w:themeColor="accent4" w:themeTint="9A"/>
      </w:tblBorders>
    </w:tblPr>
    <w:tblStylePr w:type="firstRow">
      <w:rPr>
        <w:b/>
        <w:color w:val="AEB9BA" w:themeColor="accent4" w:themeTint="9A" w:themeShade="95"/>
      </w:rPr>
      <w:tblPr/>
      <w:tcPr>
        <w:tcBorders>
          <w:bottom w:val="single" w:sz="12" w:space="0" w:color="AEB9BA" w:themeColor="accent4" w:themeTint="9A"/>
        </w:tcBorders>
      </w:tcPr>
    </w:tblStylePr>
    <w:tblStylePr w:type="lastRow">
      <w:rPr>
        <w:b/>
        <w:color w:val="AEB9BA" w:themeColor="accent4" w:themeTint="9A" w:themeShade="95"/>
      </w:rPr>
    </w:tblStylePr>
    <w:tblStylePr w:type="firstCol">
      <w:rPr>
        <w:b/>
        <w:color w:val="AEB9BA" w:themeColor="accent4" w:themeTint="9A" w:themeShade="95"/>
      </w:rPr>
    </w:tblStylePr>
    <w:tblStylePr w:type="lastCol">
      <w:rPr>
        <w:b/>
        <w:color w:val="AEB9BA" w:themeColor="accent4" w:themeTint="9A" w:themeShade="95"/>
      </w:rPr>
    </w:tblStylePr>
    <w:tblStylePr w:type="band1Vert">
      <w:tblPr/>
      <w:tcPr>
        <w:shd w:val="clear" w:color="auto" w:fill="E3E7E8" w:themeFill="accent4" w:themeFillTint="34"/>
      </w:tcPr>
    </w:tblStylePr>
    <w:tblStylePr w:type="band1Horz">
      <w:rPr>
        <w:rFonts w:ascii="Arial" w:hAnsi="Arial"/>
        <w:color w:val="AEB9BA" w:themeColor="accent4" w:themeTint="9A" w:themeShade="95"/>
        <w:sz w:val="22"/>
      </w:rPr>
      <w:tblPr/>
      <w:tcPr>
        <w:shd w:val="clear" w:color="auto" w:fill="E3E7E8" w:themeFill="accent4" w:themeFillTint="34"/>
      </w:tcPr>
    </w:tblStylePr>
    <w:tblStylePr w:type="band2Horz">
      <w:rPr>
        <w:rFonts w:ascii="Arial" w:hAnsi="Arial"/>
        <w:color w:val="AEB9BA"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84ACB6" w:themeColor="accent5"/>
        <w:left w:val="single" w:sz="4" w:space="0" w:color="84ACB6" w:themeColor="accent5"/>
        <w:bottom w:val="single" w:sz="4" w:space="0" w:color="84ACB6" w:themeColor="accent5"/>
        <w:right w:val="single" w:sz="4" w:space="0" w:color="84ACB6" w:themeColor="accent5"/>
        <w:insideH w:val="single" w:sz="4" w:space="0" w:color="84ACB6" w:themeColor="accent5"/>
        <w:insideV w:val="single" w:sz="4" w:space="0" w:color="84ACB6" w:themeColor="accent5"/>
      </w:tblBorders>
    </w:tblPr>
    <w:tblStylePr w:type="firstRow">
      <w:rPr>
        <w:b/>
        <w:color w:val="446973" w:themeColor="accent5" w:themeShade="95"/>
      </w:rPr>
      <w:tblPr/>
      <w:tcPr>
        <w:tcBorders>
          <w:bottom w:val="single" w:sz="12" w:space="0" w:color="84ACB6" w:themeColor="accent5"/>
        </w:tcBorders>
      </w:tcPr>
    </w:tblStylePr>
    <w:tblStylePr w:type="lastRow">
      <w:rPr>
        <w:b/>
        <w:color w:val="446973" w:themeColor="accent5" w:themeShade="95"/>
      </w:rPr>
    </w:tblStylePr>
    <w:tblStylePr w:type="firstCol">
      <w:rPr>
        <w:b/>
        <w:color w:val="446973" w:themeColor="accent5" w:themeShade="95"/>
      </w:rPr>
    </w:tblStylePr>
    <w:tblStylePr w:type="lastCol">
      <w:rPr>
        <w:b/>
        <w:color w:val="446973" w:themeColor="accent5" w:themeShade="95"/>
      </w:rPr>
    </w:tblStylePr>
    <w:tblStylePr w:type="band1Vert">
      <w:tblPr/>
      <w:tcPr>
        <w:shd w:val="clear" w:color="auto" w:fill="E5EEF0" w:themeFill="accent5" w:themeFillTint="34"/>
      </w:tcPr>
    </w:tblStylePr>
    <w:tblStylePr w:type="band1Horz">
      <w:rPr>
        <w:rFonts w:ascii="Arial" w:hAnsi="Arial"/>
        <w:color w:val="446973" w:themeColor="accent5" w:themeShade="95"/>
        <w:sz w:val="22"/>
      </w:rPr>
      <w:tblPr/>
      <w:tcPr>
        <w:shd w:val="clear" w:color="auto" w:fill="E5EEF0" w:themeFill="accent5" w:themeFillTint="34"/>
      </w:tcPr>
    </w:tblStylePr>
    <w:tblStylePr w:type="band2Horz">
      <w:rPr>
        <w:rFonts w:ascii="Arial" w:hAnsi="Arial"/>
        <w:color w:val="446973"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2683C6" w:themeColor="accent6"/>
        <w:left w:val="single" w:sz="4" w:space="0" w:color="2683C6" w:themeColor="accent6"/>
        <w:bottom w:val="single" w:sz="4" w:space="0" w:color="2683C6" w:themeColor="accent6"/>
        <w:right w:val="single" w:sz="4" w:space="0" w:color="2683C6" w:themeColor="accent6"/>
        <w:insideH w:val="single" w:sz="4" w:space="0" w:color="2683C6" w:themeColor="accent6"/>
        <w:insideV w:val="single" w:sz="4" w:space="0" w:color="2683C6" w:themeColor="accent6"/>
      </w:tblBorders>
    </w:tblPr>
    <w:tblStylePr w:type="firstRow">
      <w:rPr>
        <w:b/>
        <w:color w:val="446973" w:themeColor="accent5" w:themeShade="95"/>
      </w:rPr>
      <w:tblPr/>
      <w:tcPr>
        <w:tcBorders>
          <w:bottom w:val="single" w:sz="12" w:space="0" w:color="2683C6" w:themeColor="accent6"/>
        </w:tcBorders>
      </w:tcPr>
    </w:tblStylePr>
    <w:tblStylePr w:type="lastRow">
      <w:rPr>
        <w:b/>
        <w:color w:val="446973" w:themeColor="accent5" w:themeShade="95"/>
      </w:rPr>
    </w:tblStylePr>
    <w:tblStylePr w:type="firstCol">
      <w:rPr>
        <w:b/>
        <w:color w:val="446973" w:themeColor="accent5" w:themeShade="95"/>
      </w:rPr>
    </w:tblStylePr>
    <w:tblStylePr w:type="lastCol">
      <w:rPr>
        <w:b/>
        <w:color w:val="446973" w:themeColor="accent5" w:themeShade="95"/>
      </w:rPr>
    </w:tblStylePr>
    <w:tblStylePr w:type="band1Vert">
      <w:tblPr/>
      <w:tcPr>
        <w:shd w:val="clear" w:color="auto" w:fill="D0E6F6" w:themeFill="accent6" w:themeFillTint="34"/>
      </w:tcPr>
    </w:tblStylePr>
    <w:tblStylePr w:type="band1Horz">
      <w:rPr>
        <w:rFonts w:ascii="Arial" w:hAnsi="Arial"/>
        <w:color w:val="446973" w:themeColor="accent5" w:themeShade="95"/>
        <w:sz w:val="22"/>
      </w:rPr>
      <w:tblPr/>
      <w:tcPr>
        <w:shd w:val="clear" w:color="auto" w:fill="D0E6F6" w:themeFill="accent6" w:themeFillTint="34"/>
      </w:tcPr>
    </w:tblStylePr>
    <w:tblStylePr w:type="band2Horz">
      <w:rPr>
        <w:rFonts w:ascii="Arial" w:hAnsi="Arial"/>
        <w:color w:val="446973"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94CBE1" w:themeColor="accent1" w:themeTint="80"/>
        <w:right w:val="single" w:sz="4" w:space="0" w:color="94CBE1" w:themeColor="accent1" w:themeTint="80"/>
        <w:insideH w:val="single" w:sz="4" w:space="0" w:color="94CBE1" w:themeColor="accent1" w:themeTint="80"/>
        <w:insideV w:val="single" w:sz="4" w:space="0" w:color="94CBE1" w:themeColor="accent1" w:themeTint="80"/>
      </w:tblBorders>
    </w:tblPr>
    <w:tblStylePr w:type="firstRow">
      <w:rPr>
        <w:rFonts w:ascii="Arial" w:hAnsi="Arial"/>
        <w:b/>
        <w:color w:val="94CBE1" w:themeColor="accent1" w:themeTint="80" w:themeShade="95"/>
        <w:sz w:val="22"/>
      </w:rPr>
      <w:tblPr/>
      <w:tcPr>
        <w:tcBorders>
          <w:top w:val="none" w:sz="0" w:space="0" w:color="auto"/>
          <w:left w:val="none" w:sz="0" w:space="0" w:color="auto"/>
          <w:bottom w:val="single" w:sz="4" w:space="0" w:color="94CBE1" w:themeColor="accent1" w:themeTint="80"/>
          <w:right w:val="none" w:sz="0" w:space="0" w:color="auto"/>
        </w:tcBorders>
        <w:shd w:val="clear" w:color="auto" w:fill="FFFFFF" w:themeFill="light1"/>
      </w:tcPr>
    </w:tblStylePr>
    <w:tblStylePr w:type="lastRow">
      <w:rPr>
        <w:rFonts w:ascii="Arial" w:hAnsi="Arial"/>
        <w:b/>
        <w:color w:val="94CBE1" w:themeColor="accent1" w:themeTint="80" w:themeShade="95"/>
        <w:sz w:val="22"/>
      </w:rPr>
      <w:tblPr/>
      <w:tcPr>
        <w:tcBorders>
          <w:top w:val="single" w:sz="4" w:space="0" w:color="94CB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4CBE1" w:themeColor="accent1" w:themeTint="80" w:themeShade="95"/>
        <w:sz w:val="22"/>
      </w:rPr>
      <w:tblPr/>
      <w:tcPr>
        <w:tcBorders>
          <w:top w:val="none" w:sz="0" w:space="0" w:color="auto"/>
          <w:left w:val="none" w:sz="0" w:space="0" w:color="auto"/>
          <w:bottom w:val="none" w:sz="0" w:space="0" w:color="auto"/>
          <w:right w:val="single" w:sz="4" w:space="0" w:color="94CBE1" w:themeColor="accent1" w:themeTint="80"/>
        </w:tcBorders>
        <w:shd w:val="clear" w:color="auto" w:fill="FFFFFF"/>
      </w:tcPr>
    </w:tblStylePr>
    <w:tblStylePr w:type="lastCol">
      <w:rPr>
        <w:rFonts w:ascii="Arial" w:hAnsi="Arial"/>
        <w:i/>
        <w:color w:val="94CBE1" w:themeColor="accent1" w:themeTint="80" w:themeShade="95"/>
        <w:sz w:val="22"/>
      </w:rPr>
      <w:tblPr/>
      <w:tcPr>
        <w:tcBorders>
          <w:top w:val="none" w:sz="0" w:space="0" w:color="auto"/>
          <w:left w:val="single" w:sz="4" w:space="0" w:color="94CBE1" w:themeColor="accent1" w:themeTint="80"/>
          <w:bottom w:val="none" w:sz="0" w:space="0" w:color="auto"/>
          <w:right w:val="none" w:sz="0" w:space="0" w:color="auto"/>
        </w:tcBorders>
        <w:shd w:val="clear" w:color="auto" w:fill="FFFFFF"/>
      </w:tcPr>
    </w:tblStylePr>
    <w:tblStylePr w:type="band1Vert">
      <w:tblPr/>
      <w:tcPr>
        <w:shd w:val="clear" w:color="auto" w:fill="D3E9F2" w:themeFill="accent1" w:themeFillTint="34"/>
      </w:tcPr>
    </w:tblStylePr>
    <w:tblStylePr w:type="band1Horz">
      <w:rPr>
        <w:rFonts w:ascii="Arial" w:hAnsi="Arial"/>
        <w:color w:val="94CBE1" w:themeColor="accent1" w:themeTint="80" w:themeShade="95"/>
        <w:sz w:val="22"/>
      </w:rPr>
      <w:tblPr/>
      <w:tcPr>
        <w:shd w:val="clear" w:color="auto" w:fill="D3E9F2" w:themeFill="accent1" w:themeFillTint="34"/>
      </w:tcPr>
    </w:tblStylePr>
    <w:tblStylePr w:type="band2Horz">
      <w:rPr>
        <w:rFonts w:ascii="Arial" w:hAnsi="Arial"/>
        <w:color w:val="94CB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9CD3D9" w:themeColor="accent2" w:themeTint="97"/>
        <w:right w:val="single" w:sz="4" w:space="0" w:color="9CD3D9" w:themeColor="accent2" w:themeTint="97"/>
        <w:insideH w:val="single" w:sz="4" w:space="0" w:color="9CD3D9" w:themeColor="accent2" w:themeTint="97"/>
        <w:insideV w:val="single" w:sz="4" w:space="0" w:color="9CD3D9" w:themeColor="accent2" w:themeTint="97"/>
      </w:tblBorders>
    </w:tblPr>
    <w:tblStylePr w:type="firstRow">
      <w:rPr>
        <w:rFonts w:ascii="Arial" w:hAnsi="Arial"/>
        <w:b/>
        <w:color w:val="9CD3D9" w:themeColor="accent2" w:themeTint="97" w:themeShade="95"/>
        <w:sz w:val="22"/>
      </w:rPr>
      <w:tblPr/>
      <w:tcPr>
        <w:tcBorders>
          <w:top w:val="none" w:sz="0" w:space="0" w:color="auto"/>
          <w:left w:val="none" w:sz="0" w:space="0" w:color="auto"/>
          <w:bottom w:val="single" w:sz="4" w:space="0" w:color="9CD3D9" w:themeColor="accent2" w:themeTint="97"/>
          <w:right w:val="none" w:sz="0" w:space="0" w:color="auto"/>
        </w:tcBorders>
        <w:shd w:val="clear" w:color="auto" w:fill="FFFFFF" w:themeFill="light1"/>
      </w:tcPr>
    </w:tblStylePr>
    <w:tblStylePr w:type="lastRow">
      <w:rPr>
        <w:rFonts w:ascii="Arial" w:hAnsi="Arial"/>
        <w:b/>
        <w:color w:val="9CD3D9" w:themeColor="accent2" w:themeTint="97" w:themeShade="95"/>
        <w:sz w:val="22"/>
      </w:rPr>
      <w:tblPr/>
      <w:tcPr>
        <w:tcBorders>
          <w:top w:val="single" w:sz="4" w:space="0" w:color="9CD3D9"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CD3D9" w:themeColor="accent2" w:themeTint="97" w:themeShade="95"/>
        <w:sz w:val="22"/>
      </w:rPr>
      <w:tblPr/>
      <w:tcPr>
        <w:tcBorders>
          <w:top w:val="none" w:sz="0" w:space="0" w:color="auto"/>
          <w:left w:val="none" w:sz="0" w:space="0" w:color="auto"/>
          <w:bottom w:val="none" w:sz="0" w:space="0" w:color="auto"/>
          <w:right w:val="single" w:sz="4" w:space="0" w:color="9CD3D9" w:themeColor="accent2" w:themeTint="97"/>
        </w:tcBorders>
        <w:shd w:val="clear" w:color="auto" w:fill="FFFFFF"/>
      </w:tcPr>
    </w:tblStylePr>
    <w:tblStylePr w:type="lastCol">
      <w:rPr>
        <w:rFonts w:ascii="Arial" w:hAnsi="Arial"/>
        <w:i/>
        <w:color w:val="9CD3D9" w:themeColor="accent2" w:themeTint="97" w:themeShade="95"/>
        <w:sz w:val="22"/>
      </w:rPr>
      <w:tblPr/>
      <w:tcPr>
        <w:tcBorders>
          <w:top w:val="none" w:sz="0" w:space="0" w:color="auto"/>
          <w:left w:val="single" w:sz="4" w:space="0" w:color="9CD3D9" w:themeColor="accent2" w:themeTint="97"/>
          <w:bottom w:val="none" w:sz="0" w:space="0" w:color="auto"/>
          <w:right w:val="none" w:sz="0" w:space="0" w:color="auto"/>
        </w:tcBorders>
        <w:shd w:val="clear" w:color="auto" w:fill="FFFFFF"/>
      </w:tcPr>
    </w:tblStylePr>
    <w:tblStylePr w:type="band1Vert">
      <w:tblPr/>
      <w:tcPr>
        <w:shd w:val="clear" w:color="auto" w:fill="DEF0F2" w:themeFill="accent2" w:themeFillTint="32"/>
      </w:tcPr>
    </w:tblStylePr>
    <w:tblStylePr w:type="band1Horz">
      <w:rPr>
        <w:rFonts w:ascii="Arial" w:hAnsi="Arial"/>
        <w:color w:val="9CD3D9" w:themeColor="accent2" w:themeTint="97" w:themeShade="95"/>
        <w:sz w:val="22"/>
      </w:rPr>
      <w:tblPr/>
      <w:tcPr>
        <w:shd w:val="clear" w:color="auto" w:fill="DEF0F2" w:themeFill="accent2" w:themeFillTint="32"/>
      </w:tcPr>
    </w:tblStylePr>
    <w:tblStylePr w:type="band2Horz">
      <w:rPr>
        <w:rFonts w:ascii="Arial" w:hAnsi="Arial"/>
        <w:color w:val="9CD3D9"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75BDA7" w:themeColor="accent3" w:themeTint="FE"/>
        <w:right w:val="single" w:sz="4" w:space="0" w:color="75BDA7" w:themeColor="accent3" w:themeTint="FE"/>
        <w:insideH w:val="single" w:sz="4" w:space="0" w:color="75BDA7" w:themeColor="accent3" w:themeTint="FE"/>
        <w:insideV w:val="single" w:sz="4" w:space="0" w:color="75BDA7" w:themeColor="accent3" w:themeTint="FE"/>
      </w:tblBorders>
    </w:tblPr>
    <w:tblStylePr w:type="firstRow">
      <w:rPr>
        <w:rFonts w:ascii="Arial" w:hAnsi="Arial"/>
        <w:b/>
        <w:color w:val="75BDA7" w:themeColor="accent3" w:themeTint="FE" w:themeShade="95"/>
        <w:sz w:val="22"/>
      </w:rPr>
      <w:tblPr/>
      <w:tcPr>
        <w:tcBorders>
          <w:top w:val="none" w:sz="0" w:space="0" w:color="auto"/>
          <w:left w:val="none" w:sz="0" w:space="0" w:color="auto"/>
          <w:bottom w:val="single" w:sz="4" w:space="0" w:color="75BDA7" w:themeColor="accent3" w:themeTint="FE"/>
          <w:right w:val="none" w:sz="0" w:space="0" w:color="auto"/>
        </w:tcBorders>
        <w:shd w:val="clear" w:color="auto" w:fill="FFFFFF" w:themeFill="light1"/>
      </w:tcPr>
    </w:tblStylePr>
    <w:tblStylePr w:type="lastRow">
      <w:rPr>
        <w:rFonts w:ascii="Arial" w:hAnsi="Arial"/>
        <w:b/>
        <w:color w:val="75BDA7" w:themeColor="accent3" w:themeTint="FE" w:themeShade="95"/>
        <w:sz w:val="22"/>
      </w:rPr>
      <w:tblPr/>
      <w:tcPr>
        <w:tcBorders>
          <w:top w:val="single" w:sz="4" w:space="0" w:color="75BDA7"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5BDA7" w:themeColor="accent3" w:themeTint="FE" w:themeShade="95"/>
        <w:sz w:val="22"/>
      </w:rPr>
      <w:tblPr/>
      <w:tcPr>
        <w:tcBorders>
          <w:top w:val="none" w:sz="0" w:space="0" w:color="auto"/>
          <w:left w:val="none" w:sz="0" w:space="0" w:color="auto"/>
          <w:bottom w:val="none" w:sz="0" w:space="0" w:color="auto"/>
          <w:right w:val="single" w:sz="4" w:space="0" w:color="75BDA7" w:themeColor="accent3" w:themeTint="FE"/>
        </w:tcBorders>
        <w:shd w:val="clear" w:color="auto" w:fill="FFFFFF"/>
      </w:tcPr>
    </w:tblStylePr>
    <w:tblStylePr w:type="lastCol">
      <w:rPr>
        <w:rFonts w:ascii="Arial" w:hAnsi="Arial"/>
        <w:i/>
        <w:color w:val="75BDA7" w:themeColor="accent3" w:themeTint="FE" w:themeShade="95"/>
        <w:sz w:val="22"/>
      </w:rPr>
      <w:tblPr/>
      <w:tcPr>
        <w:tcBorders>
          <w:top w:val="none" w:sz="0" w:space="0" w:color="auto"/>
          <w:left w:val="single" w:sz="4" w:space="0" w:color="75BDA7" w:themeColor="accent3" w:themeTint="FE"/>
          <w:bottom w:val="none" w:sz="0" w:space="0" w:color="auto"/>
          <w:right w:val="none" w:sz="0" w:space="0" w:color="auto"/>
        </w:tcBorders>
        <w:shd w:val="clear" w:color="auto" w:fill="FFFFFF"/>
      </w:tcPr>
    </w:tblStylePr>
    <w:tblStylePr w:type="band1Vert">
      <w:tblPr/>
      <w:tcPr>
        <w:shd w:val="clear" w:color="auto" w:fill="E2F1ED" w:themeFill="accent3" w:themeFillTint="34"/>
      </w:tcPr>
    </w:tblStylePr>
    <w:tblStylePr w:type="band1Horz">
      <w:rPr>
        <w:rFonts w:ascii="Arial" w:hAnsi="Arial"/>
        <w:color w:val="75BDA7" w:themeColor="accent3" w:themeTint="FE" w:themeShade="95"/>
        <w:sz w:val="22"/>
      </w:rPr>
      <w:tblPr/>
      <w:tcPr>
        <w:shd w:val="clear" w:color="auto" w:fill="E2F1ED" w:themeFill="accent3" w:themeFillTint="34"/>
      </w:tcPr>
    </w:tblStylePr>
    <w:tblStylePr w:type="band2Horz">
      <w:rPr>
        <w:rFonts w:ascii="Arial" w:hAnsi="Arial"/>
        <w:color w:val="75BDA7"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AEB9BA" w:themeColor="accent4" w:themeTint="9A"/>
        <w:right w:val="single" w:sz="4" w:space="0" w:color="AEB9BA" w:themeColor="accent4" w:themeTint="9A"/>
        <w:insideH w:val="single" w:sz="4" w:space="0" w:color="AEB9BA" w:themeColor="accent4" w:themeTint="9A"/>
        <w:insideV w:val="single" w:sz="4" w:space="0" w:color="AEB9BA" w:themeColor="accent4" w:themeTint="9A"/>
      </w:tblBorders>
    </w:tblPr>
    <w:tblStylePr w:type="firstRow">
      <w:rPr>
        <w:rFonts w:ascii="Arial" w:hAnsi="Arial"/>
        <w:b/>
        <w:color w:val="AEB9BA" w:themeColor="accent4" w:themeTint="9A" w:themeShade="95"/>
        <w:sz w:val="22"/>
      </w:rPr>
      <w:tblPr/>
      <w:tcPr>
        <w:tcBorders>
          <w:top w:val="none" w:sz="0" w:space="0" w:color="auto"/>
          <w:left w:val="none" w:sz="0" w:space="0" w:color="auto"/>
          <w:bottom w:val="single" w:sz="4" w:space="0" w:color="AEB9BA" w:themeColor="accent4" w:themeTint="9A"/>
          <w:right w:val="none" w:sz="0" w:space="0" w:color="auto"/>
        </w:tcBorders>
        <w:shd w:val="clear" w:color="auto" w:fill="FFFFFF" w:themeFill="light1"/>
      </w:tcPr>
    </w:tblStylePr>
    <w:tblStylePr w:type="lastRow">
      <w:rPr>
        <w:rFonts w:ascii="Arial" w:hAnsi="Arial"/>
        <w:b/>
        <w:color w:val="AEB9BA" w:themeColor="accent4" w:themeTint="9A" w:themeShade="95"/>
        <w:sz w:val="22"/>
      </w:rPr>
      <w:tblPr/>
      <w:tcPr>
        <w:tcBorders>
          <w:top w:val="single" w:sz="4" w:space="0" w:color="AEB9BA"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EB9BA" w:themeColor="accent4" w:themeTint="9A" w:themeShade="95"/>
        <w:sz w:val="22"/>
      </w:rPr>
      <w:tblPr/>
      <w:tcPr>
        <w:tcBorders>
          <w:top w:val="none" w:sz="0" w:space="0" w:color="auto"/>
          <w:left w:val="none" w:sz="0" w:space="0" w:color="auto"/>
          <w:bottom w:val="none" w:sz="0" w:space="0" w:color="auto"/>
          <w:right w:val="single" w:sz="4" w:space="0" w:color="AEB9BA" w:themeColor="accent4" w:themeTint="9A"/>
        </w:tcBorders>
        <w:shd w:val="clear" w:color="auto" w:fill="FFFFFF"/>
      </w:tcPr>
    </w:tblStylePr>
    <w:tblStylePr w:type="lastCol">
      <w:rPr>
        <w:rFonts w:ascii="Arial" w:hAnsi="Arial"/>
        <w:i/>
        <w:color w:val="AEB9BA" w:themeColor="accent4" w:themeTint="9A" w:themeShade="95"/>
        <w:sz w:val="22"/>
      </w:rPr>
      <w:tblPr/>
      <w:tcPr>
        <w:tcBorders>
          <w:top w:val="none" w:sz="0" w:space="0" w:color="auto"/>
          <w:left w:val="single" w:sz="4" w:space="0" w:color="AEB9BA" w:themeColor="accent4" w:themeTint="9A"/>
          <w:bottom w:val="none" w:sz="0" w:space="0" w:color="auto"/>
          <w:right w:val="none" w:sz="0" w:space="0" w:color="auto"/>
        </w:tcBorders>
        <w:shd w:val="clear" w:color="auto" w:fill="FFFFFF"/>
      </w:tcPr>
    </w:tblStylePr>
    <w:tblStylePr w:type="band1Vert">
      <w:tblPr/>
      <w:tcPr>
        <w:shd w:val="clear" w:color="auto" w:fill="E3E7E8" w:themeFill="accent4" w:themeFillTint="34"/>
      </w:tcPr>
    </w:tblStylePr>
    <w:tblStylePr w:type="band1Horz">
      <w:rPr>
        <w:rFonts w:ascii="Arial" w:hAnsi="Arial"/>
        <w:color w:val="AEB9BA" w:themeColor="accent4" w:themeTint="9A" w:themeShade="95"/>
        <w:sz w:val="22"/>
      </w:rPr>
      <w:tblPr/>
      <w:tcPr>
        <w:shd w:val="clear" w:color="auto" w:fill="E3E7E8" w:themeFill="accent4" w:themeFillTint="34"/>
      </w:tcPr>
    </w:tblStylePr>
    <w:tblStylePr w:type="band2Horz">
      <w:rPr>
        <w:rFonts w:ascii="Arial" w:hAnsi="Arial"/>
        <w:color w:val="AEB9BA"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B9D0D5" w:themeColor="accent5" w:themeTint="90"/>
        <w:right w:val="single" w:sz="4" w:space="0" w:color="B9D0D5" w:themeColor="accent5" w:themeTint="90"/>
        <w:insideH w:val="single" w:sz="4" w:space="0" w:color="B9D0D5" w:themeColor="accent5" w:themeTint="90"/>
        <w:insideV w:val="single" w:sz="4" w:space="0" w:color="B9D0D5" w:themeColor="accent5" w:themeTint="90"/>
      </w:tblBorders>
    </w:tblPr>
    <w:tblStylePr w:type="firstRow">
      <w:rPr>
        <w:rFonts w:ascii="Arial" w:hAnsi="Arial"/>
        <w:b/>
        <w:color w:val="446973" w:themeColor="accent5" w:themeShade="95"/>
        <w:sz w:val="22"/>
      </w:rPr>
      <w:tblPr/>
      <w:tcPr>
        <w:tcBorders>
          <w:top w:val="none" w:sz="0" w:space="0" w:color="auto"/>
          <w:left w:val="none" w:sz="0" w:space="0" w:color="auto"/>
          <w:bottom w:val="single" w:sz="4" w:space="0" w:color="B9D0D5" w:themeColor="accent5" w:themeTint="90"/>
          <w:right w:val="none" w:sz="0" w:space="0" w:color="auto"/>
        </w:tcBorders>
        <w:shd w:val="clear" w:color="auto" w:fill="FFFFFF" w:themeFill="light1"/>
      </w:tcPr>
    </w:tblStylePr>
    <w:tblStylePr w:type="lastRow">
      <w:rPr>
        <w:rFonts w:ascii="Arial" w:hAnsi="Arial"/>
        <w:b/>
        <w:color w:val="446973" w:themeColor="accent5" w:themeShade="95"/>
        <w:sz w:val="22"/>
      </w:rPr>
      <w:tblPr/>
      <w:tcPr>
        <w:tcBorders>
          <w:top w:val="single" w:sz="4" w:space="0" w:color="B9D0D5"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46973" w:themeColor="accent5" w:themeShade="95"/>
        <w:sz w:val="22"/>
      </w:rPr>
      <w:tblPr/>
      <w:tcPr>
        <w:tcBorders>
          <w:top w:val="none" w:sz="0" w:space="0" w:color="auto"/>
          <w:left w:val="none" w:sz="0" w:space="0" w:color="auto"/>
          <w:bottom w:val="none" w:sz="0" w:space="0" w:color="auto"/>
          <w:right w:val="single" w:sz="4" w:space="0" w:color="B9D0D5" w:themeColor="accent5" w:themeTint="90"/>
        </w:tcBorders>
        <w:shd w:val="clear" w:color="auto" w:fill="FFFFFF"/>
      </w:tcPr>
    </w:tblStylePr>
    <w:tblStylePr w:type="lastCol">
      <w:rPr>
        <w:rFonts w:ascii="Arial" w:hAnsi="Arial"/>
        <w:i/>
        <w:color w:val="446973" w:themeColor="accent5" w:themeShade="95"/>
        <w:sz w:val="22"/>
      </w:rPr>
      <w:tblPr/>
      <w:tcPr>
        <w:tcBorders>
          <w:top w:val="none" w:sz="0" w:space="0" w:color="auto"/>
          <w:left w:val="single" w:sz="4" w:space="0" w:color="B9D0D5" w:themeColor="accent5" w:themeTint="90"/>
          <w:bottom w:val="none" w:sz="0" w:space="0" w:color="auto"/>
          <w:right w:val="none" w:sz="0" w:space="0" w:color="auto"/>
        </w:tcBorders>
        <w:shd w:val="clear" w:color="auto" w:fill="FFFFFF"/>
      </w:tcPr>
    </w:tblStylePr>
    <w:tblStylePr w:type="band1Vert">
      <w:tblPr/>
      <w:tcPr>
        <w:shd w:val="clear" w:color="auto" w:fill="E5EEF0" w:themeFill="accent5" w:themeFillTint="34"/>
      </w:tcPr>
    </w:tblStylePr>
    <w:tblStylePr w:type="band1Horz">
      <w:rPr>
        <w:rFonts w:ascii="Arial" w:hAnsi="Arial"/>
        <w:color w:val="446973" w:themeColor="accent5" w:themeShade="95"/>
        <w:sz w:val="22"/>
      </w:rPr>
      <w:tblPr/>
      <w:tcPr>
        <w:shd w:val="clear" w:color="auto" w:fill="E5EEF0" w:themeFill="accent5" w:themeFillTint="34"/>
      </w:tcPr>
    </w:tblStylePr>
    <w:tblStylePr w:type="band2Horz">
      <w:rPr>
        <w:rFonts w:ascii="Arial" w:hAnsi="Arial"/>
        <w:color w:val="446973"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7CB9E6" w:themeColor="accent6" w:themeTint="90"/>
        <w:right w:val="single" w:sz="4" w:space="0" w:color="7CB9E6" w:themeColor="accent6" w:themeTint="90"/>
        <w:insideH w:val="single" w:sz="4" w:space="0" w:color="7CB9E6" w:themeColor="accent6" w:themeTint="90"/>
        <w:insideV w:val="single" w:sz="4" w:space="0" w:color="7CB9E6" w:themeColor="accent6" w:themeTint="90"/>
      </w:tblBorders>
    </w:tblPr>
    <w:tblStylePr w:type="firstRow">
      <w:rPr>
        <w:rFonts w:ascii="Arial" w:hAnsi="Arial"/>
        <w:b/>
        <w:color w:val="164C73" w:themeColor="accent6" w:themeShade="95"/>
        <w:sz w:val="22"/>
      </w:rPr>
      <w:tblPr/>
      <w:tcPr>
        <w:tcBorders>
          <w:top w:val="none" w:sz="0" w:space="0" w:color="auto"/>
          <w:left w:val="none" w:sz="0" w:space="0" w:color="auto"/>
          <w:bottom w:val="single" w:sz="4" w:space="0" w:color="7CB9E6" w:themeColor="accent6" w:themeTint="90"/>
          <w:right w:val="none" w:sz="0" w:space="0" w:color="auto"/>
        </w:tcBorders>
        <w:shd w:val="clear" w:color="auto" w:fill="FFFFFF" w:themeFill="light1"/>
      </w:tcPr>
    </w:tblStylePr>
    <w:tblStylePr w:type="lastRow">
      <w:rPr>
        <w:rFonts w:ascii="Arial" w:hAnsi="Arial"/>
        <w:b/>
        <w:color w:val="164C73" w:themeColor="accent6" w:themeShade="95"/>
        <w:sz w:val="22"/>
      </w:rPr>
      <w:tblPr/>
      <w:tcPr>
        <w:tcBorders>
          <w:top w:val="single" w:sz="4" w:space="0" w:color="7CB9E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164C73" w:themeColor="accent6" w:themeShade="95"/>
        <w:sz w:val="22"/>
      </w:rPr>
      <w:tblPr/>
      <w:tcPr>
        <w:tcBorders>
          <w:top w:val="none" w:sz="0" w:space="0" w:color="auto"/>
          <w:left w:val="none" w:sz="0" w:space="0" w:color="auto"/>
          <w:bottom w:val="none" w:sz="0" w:space="0" w:color="auto"/>
          <w:right w:val="single" w:sz="4" w:space="0" w:color="7CB9E6" w:themeColor="accent6" w:themeTint="90"/>
        </w:tcBorders>
        <w:shd w:val="clear" w:color="auto" w:fill="FFFFFF"/>
      </w:tcPr>
    </w:tblStylePr>
    <w:tblStylePr w:type="lastCol">
      <w:rPr>
        <w:rFonts w:ascii="Arial" w:hAnsi="Arial"/>
        <w:i/>
        <w:color w:val="164C73" w:themeColor="accent6" w:themeShade="95"/>
        <w:sz w:val="22"/>
      </w:rPr>
      <w:tblPr/>
      <w:tcPr>
        <w:tcBorders>
          <w:top w:val="none" w:sz="0" w:space="0" w:color="auto"/>
          <w:left w:val="single" w:sz="4" w:space="0" w:color="7CB9E6" w:themeColor="accent6" w:themeTint="90"/>
          <w:bottom w:val="none" w:sz="0" w:space="0" w:color="auto"/>
          <w:right w:val="none" w:sz="0" w:space="0" w:color="auto"/>
        </w:tcBorders>
        <w:shd w:val="clear" w:color="auto" w:fill="FFFFFF"/>
      </w:tcPr>
    </w:tblStylePr>
    <w:tblStylePr w:type="band1Vert">
      <w:tblPr/>
      <w:tcPr>
        <w:shd w:val="clear" w:color="auto" w:fill="D0E6F6" w:themeFill="accent6" w:themeFillTint="34"/>
      </w:tcPr>
    </w:tblStylePr>
    <w:tblStylePr w:type="band1Horz">
      <w:rPr>
        <w:rFonts w:ascii="Arial" w:hAnsi="Arial"/>
        <w:color w:val="164C73" w:themeColor="accent6" w:themeShade="95"/>
        <w:sz w:val="22"/>
      </w:rPr>
      <w:tblPr/>
      <w:tcPr>
        <w:shd w:val="clear" w:color="auto" w:fill="D0E6F6" w:themeFill="accent6" w:themeFillTint="34"/>
      </w:tcPr>
    </w:tblStylePr>
    <w:tblStylePr w:type="band2Horz">
      <w:rPr>
        <w:rFonts w:ascii="Arial" w:hAnsi="Arial"/>
        <w:color w:val="164C73"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3494BA" w:themeColor="accent1"/>
          <w:right w:val="none" w:sz="4" w:space="0" w:color="000000"/>
        </w:tcBorders>
      </w:tcPr>
    </w:tblStylePr>
    <w:tblStylePr w:type="lastRow">
      <w:rPr>
        <w:b/>
        <w:color w:val="404040"/>
      </w:rPr>
      <w:tblPr/>
      <w:tcPr>
        <w:tcBorders>
          <w:top w:val="single" w:sz="4" w:space="0" w:color="3494BA"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9E5F0" w:themeFill="accent1" w:themeFillTint="40"/>
      </w:tcPr>
    </w:tblStylePr>
    <w:tblStylePr w:type="band1Horz">
      <w:tblPr/>
      <w:tcPr>
        <w:shd w:val="clear" w:color="auto" w:fill="C9E5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8B6C0" w:themeColor="accent2"/>
          <w:right w:val="none" w:sz="4" w:space="0" w:color="000000"/>
        </w:tcBorders>
      </w:tcPr>
    </w:tblStylePr>
    <w:tblStylePr w:type="lastRow">
      <w:rPr>
        <w:b/>
        <w:color w:val="404040"/>
      </w:rPr>
      <w:tblPr/>
      <w:tcPr>
        <w:tcBorders>
          <w:top w:val="single" w:sz="4" w:space="0" w:color="58B6C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4ECEF" w:themeFill="accent2" w:themeFillTint="40"/>
      </w:tcPr>
    </w:tblStylePr>
    <w:tblStylePr w:type="band1Horz">
      <w:tblPr/>
      <w:tcPr>
        <w:shd w:val="clear" w:color="auto" w:fill="D4ECEF"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5BDA7" w:themeColor="accent3"/>
          <w:right w:val="none" w:sz="4" w:space="0" w:color="000000"/>
        </w:tcBorders>
      </w:tcPr>
    </w:tblStylePr>
    <w:tblStylePr w:type="lastRow">
      <w:rPr>
        <w:b/>
        <w:color w:val="404040"/>
      </w:rPr>
      <w:tblPr/>
      <w:tcPr>
        <w:tcBorders>
          <w:top w:val="single" w:sz="4" w:space="0" w:color="75BDA7"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CEEE8" w:themeFill="accent3" w:themeFillTint="40"/>
      </w:tcPr>
    </w:tblStylePr>
    <w:tblStylePr w:type="band1Horz">
      <w:tblPr/>
      <w:tcPr>
        <w:shd w:val="clear" w:color="auto" w:fill="DCEE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A8C8E" w:themeColor="accent4"/>
          <w:right w:val="none" w:sz="4" w:space="0" w:color="000000"/>
        </w:tcBorders>
      </w:tcPr>
    </w:tblStylePr>
    <w:tblStylePr w:type="lastRow">
      <w:rPr>
        <w:b/>
        <w:color w:val="404040"/>
      </w:rPr>
      <w:tblPr/>
      <w:tcPr>
        <w:tcBorders>
          <w:top w:val="single" w:sz="4" w:space="0" w:color="7A8C8E"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DE2E2" w:themeFill="accent4" w:themeFillTint="40"/>
      </w:tcPr>
    </w:tblStylePr>
    <w:tblStylePr w:type="band1Horz">
      <w:tblPr/>
      <w:tcPr>
        <w:shd w:val="clear" w:color="auto" w:fill="DDE2E2"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4ACB6" w:themeColor="accent5"/>
          <w:right w:val="none" w:sz="4" w:space="0" w:color="000000"/>
        </w:tcBorders>
      </w:tcPr>
    </w:tblStylePr>
    <w:tblStylePr w:type="lastRow">
      <w:rPr>
        <w:b/>
        <w:color w:val="404040"/>
      </w:rPr>
      <w:tblPr/>
      <w:tcPr>
        <w:tcBorders>
          <w:top w:val="single" w:sz="4" w:space="0" w:color="84ACB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0EAEC" w:themeFill="accent5" w:themeFillTint="40"/>
      </w:tcPr>
    </w:tblStylePr>
    <w:tblStylePr w:type="band1Horz">
      <w:tblPr/>
      <w:tcPr>
        <w:shd w:val="clear" w:color="auto" w:fill="E0EAEC"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2683C6" w:themeColor="accent6"/>
          <w:right w:val="none" w:sz="4" w:space="0" w:color="000000"/>
        </w:tcBorders>
      </w:tcPr>
    </w:tblStylePr>
    <w:tblStylePr w:type="lastRow">
      <w:rPr>
        <w:b/>
        <w:color w:val="404040"/>
      </w:rPr>
      <w:tblPr/>
      <w:tcPr>
        <w:tcBorders>
          <w:top w:val="single" w:sz="4" w:space="0" w:color="2683C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5E0F4" w:themeFill="accent6" w:themeFillTint="40"/>
      </w:tcPr>
    </w:tblStylePr>
    <w:tblStylePr w:type="band1Horz">
      <w:tblPr/>
      <w:tcPr>
        <w:shd w:val="clear" w:color="auto" w:fill="C5E0F4"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86C4DD" w:themeColor="accent1" w:themeTint="90"/>
        <w:bottom w:val="single" w:sz="4" w:space="0" w:color="86C4DD" w:themeColor="accent1" w:themeTint="90"/>
        <w:insideH w:val="single" w:sz="4" w:space="0" w:color="86C4DD" w:themeColor="accent1" w:themeTint="90"/>
      </w:tblBorders>
    </w:tblPr>
    <w:tblStylePr w:type="firstRow">
      <w:rPr>
        <w:rFonts w:ascii="Arial" w:hAnsi="Arial"/>
        <w:b/>
        <w:color w:val="404040"/>
        <w:sz w:val="22"/>
      </w:rPr>
      <w:tblPr/>
      <w:tcPr>
        <w:tcBorders>
          <w:top w:val="single" w:sz="4" w:space="0" w:color="86C4DD" w:themeColor="accent1" w:themeTint="90"/>
          <w:left w:val="none" w:sz="4" w:space="0" w:color="000000"/>
          <w:bottom w:val="single" w:sz="4" w:space="0" w:color="86C4DD" w:themeColor="accent1" w:themeTint="90"/>
          <w:right w:val="none" w:sz="4" w:space="0" w:color="000000"/>
        </w:tcBorders>
      </w:tcPr>
    </w:tblStylePr>
    <w:tblStylePr w:type="lastRow">
      <w:rPr>
        <w:rFonts w:ascii="Arial" w:hAnsi="Arial"/>
        <w:b/>
        <w:color w:val="404040"/>
        <w:sz w:val="22"/>
      </w:rPr>
      <w:tblPr/>
      <w:tcPr>
        <w:tcBorders>
          <w:top w:val="single" w:sz="4" w:space="0" w:color="86C4DD" w:themeColor="accent1" w:themeTint="90"/>
          <w:left w:val="none" w:sz="4" w:space="0" w:color="000000"/>
          <w:bottom w:val="single" w:sz="4" w:space="0" w:color="86C4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9E5F0" w:themeFill="accent1" w:themeFillTint="40"/>
      </w:tcPr>
    </w:tblStylePr>
    <w:tblStylePr w:type="band1Horz">
      <w:rPr>
        <w:rFonts w:ascii="Arial" w:hAnsi="Arial"/>
        <w:color w:val="404040"/>
        <w:sz w:val="22"/>
      </w:rPr>
      <w:tblPr/>
      <w:tcPr>
        <w:shd w:val="clear" w:color="auto" w:fill="C9E5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A0D5DB" w:themeColor="accent2" w:themeTint="90"/>
        <w:bottom w:val="single" w:sz="4" w:space="0" w:color="A0D5DB" w:themeColor="accent2" w:themeTint="90"/>
        <w:insideH w:val="single" w:sz="4" w:space="0" w:color="A0D5DB" w:themeColor="accent2" w:themeTint="90"/>
      </w:tblBorders>
    </w:tblPr>
    <w:tblStylePr w:type="firstRow">
      <w:rPr>
        <w:rFonts w:ascii="Arial" w:hAnsi="Arial"/>
        <w:b/>
        <w:color w:val="404040"/>
        <w:sz w:val="22"/>
      </w:rPr>
      <w:tblPr/>
      <w:tcPr>
        <w:tcBorders>
          <w:top w:val="single" w:sz="4" w:space="0" w:color="A0D5DB" w:themeColor="accent2" w:themeTint="90"/>
          <w:left w:val="none" w:sz="4" w:space="0" w:color="000000"/>
          <w:bottom w:val="single" w:sz="4" w:space="0" w:color="A0D5DB" w:themeColor="accent2" w:themeTint="90"/>
          <w:right w:val="none" w:sz="4" w:space="0" w:color="000000"/>
        </w:tcBorders>
      </w:tcPr>
    </w:tblStylePr>
    <w:tblStylePr w:type="lastRow">
      <w:rPr>
        <w:rFonts w:ascii="Arial" w:hAnsi="Arial"/>
        <w:b/>
        <w:color w:val="404040"/>
        <w:sz w:val="22"/>
      </w:rPr>
      <w:tblPr/>
      <w:tcPr>
        <w:tcBorders>
          <w:top w:val="single" w:sz="4" w:space="0" w:color="A0D5DB" w:themeColor="accent2" w:themeTint="90"/>
          <w:left w:val="none" w:sz="4" w:space="0" w:color="000000"/>
          <w:bottom w:val="single" w:sz="4" w:space="0" w:color="A0D5D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4ECEF" w:themeFill="accent2" w:themeFillTint="40"/>
      </w:tcPr>
    </w:tblStylePr>
    <w:tblStylePr w:type="band1Horz">
      <w:rPr>
        <w:rFonts w:ascii="Arial" w:hAnsi="Arial"/>
        <w:color w:val="404040"/>
        <w:sz w:val="22"/>
      </w:rPr>
      <w:tblPr/>
      <w:tcPr>
        <w:shd w:val="clear" w:color="auto" w:fill="D4ECEF"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B0D9CD" w:themeColor="accent3" w:themeTint="90"/>
        <w:bottom w:val="single" w:sz="4" w:space="0" w:color="B0D9CD" w:themeColor="accent3" w:themeTint="90"/>
        <w:insideH w:val="single" w:sz="4" w:space="0" w:color="B0D9CD" w:themeColor="accent3" w:themeTint="90"/>
      </w:tblBorders>
    </w:tblPr>
    <w:tblStylePr w:type="firstRow">
      <w:rPr>
        <w:rFonts w:ascii="Arial" w:hAnsi="Arial"/>
        <w:b/>
        <w:color w:val="404040"/>
        <w:sz w:val="22"/>
      </w:rPr>
      <w:tblPr/>
      <w:tcPr>
        <w:tcBorders>
          <w:top w:val="single" w:sz="4" w:space="0" w:color="B0D9CD" w:themeColor="accent3" w:themeTint="90"/>
          <w:left w:val="none" w:sz="4" w:space="0" w:color="000000"/>
          <w:bottom w:val="single" w:sz="4" w:space="0" w:color="B0D9CD" w:themeColor="accent3" w:themeTint="90"/>
          <w:right w:val="none" w:sz="4" w:space="0" w:color="000000"/>
        </w:tcBorders>
      </w:tcPr>
    </w:tblStylePr>
    <w:tblStylePr w:type="lastRow">
      <w:rPr>
        <w:rFonts w:ascii="Arial" w:hAnsi="Arial"/>
        <w:b/>
        <w:color w:val="404040"/>
        <w:sz w:val="22"/>
      </w:rPr>
      <w:tblPr/>
      <w:tcPr>
        <w:tcBorders>
          <w:top w:val="single" w:sz="4" w:space="0" w:color="B0D9CD" w:themeColor="accent3" w:themeTint="90"/>
          <w:left w:val="none" w:sz="4" w:space="0" w:color="000000"/>
          <w:bottom w:val="single" w:sz="4" w:space="0" w:color="B0D9CD"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CEEE8" w:themeFill="accent3" w:themeFillTint="40"/>
      </w:tcPr>
    </w:tblStylePr>
    <w:tblStylePr w:type="band1Horz">
      <w:rPr>
        <w:rFonts w:ascii="Arial" w:hAnsi="Arial"/>
        <w:color w:val="404040"/>
        <w:sz w:val="22"/>
      </w:rPr>
      <w:tblPr/>
      <w:tcPr>
        <w:shd w:val="clear" w:color="auto" w:fill="DCEE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3BEBF" w:themeColor="accent4" w:themeTint="90"/>
        <w:bottom w:val="single" w:sz="4" w:space="0" w:color="B3BEBF" w:themeColor="accent4" w:themeTint="90"/>
        <w:insideH w:val="single" w:sz="4" w:space="0" w:color="B3BEBF" w:themeColor="accent4" w:themeTint="90"/>
      </w:tblBorders>
    </w:tblPr>
    <w:tblStylePr w:type="firstRow">
      <w:rPr>
        <w:rFonts w:ascii="Arial" w:hAnsi="Arial"/>
        <w:b/>
        <w:color w:val="404040"/>
        <w:sz w:val="22"/>
      </w:rPr>
      <w:tblPr/>
      <w:tcPr>
        <w:tcBorders>
          <w:top w:val="single" w:sz="4" w:space="0" w:color="B3BEBF" w:themeColor="accent4" w:themeTint="90"/>
          <w:left w:val="none" w:sz="4" w:space="0" w:color="000000"/>
          <w:bottom w:val="single" w:sz="4" w:space="0" w:color="B3BEBF" w:themeColor="accent4" w:themeTint="90"/>
          <w:right w:val="none" w:sz="4" w:space="0" w:color="000000"/>
        </w:tcBorders>
      </w:tcPr>
    </w:tblStylePr>
    <w:tblStylePr w:type="lastRow">
      <w:rPr>
        <w:rFonts w:ascii="Arial" w:hAnsi="Arial"/>
        <w:b/>
        <w:color w:val="404040"/>
        <w:sz w:val="22"/>
      </w:rPr>
      <w:tblPr/>
      <w:tcPr>
        <w:tcBorders>
          <w:top w:val="single" w:sz="4" w:space="0" w:color="B3BEBF" w:themeColor="accent4" w:themeTint="90"/>
          <w:left w:val="none" w:sz="4" w:space="0" w:color="000000"/>
          <w:bottom w:val="single" w:sz="4" w:space="0" w:color="B3BEB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DE2E2" w:themeFill="accent4" w:themeFillTint="40"/>
      </w:tcPr>
    </w:tblStylePr>
    <w:tblStylePr w:type="band1Horz">
      <w:rPr>
        <w:rFonts w:ascii="Arial" w:hAnsi="Arial"/>
        <w:color w:val="404040"/>
        <w:sz w:val="22"/>
      </w:rPr>
      <w:tblPr/>
      <w:tcPr>
        <w:shd w:val="clear" w:color="auto" w:fill="DDE2E2" w:themeFill="accent4" w:themeFillTint="40"/>
      </w:tcPr>
    </w:tblStylePr>
  </w:style>
  <w:style w:type="table" w:styleId="ListTable2-Accent5">
    <w:name w:val="List Table 2 Accent 5"/>
    <w:basedOn w:val="TableNormal"/>
    <w:uiPriority w:val="47"/>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ListTable2-Accent6">
    <w:name w:val="List Table 2 Accent 6"/>
    <w:basedOn w:val="TableNormal"/>
    <w:uiPriority w:val="99"/>
    <w:tblPr>
      <w:tblStyleRowBandSize w:val="1"/>
      <w:tblStyleColBandSize w:val="1"/>
      <w:tblBorders>
        <w:top w:val="single" w:sz="4" w:space="0" w:color="7CB9E6" w:themeColor="accent6" w:themeTint="90"/>
        <w:bottom w:val="single" w:sz="4" w:space="0" w:color="7CB9E6" w:themeColor="accent6" w:themeTint="90"/>
        <w:insideH w:val="single" w:sz="4" w:space="0" w:color="7CB9E6" w:themeColor="accent6" w:themeTint="90"/>
      </w:tblBorders>
    </w:tblPr>
    <w:tblStylePr w:type="firstRow">
      <w:rPr>
        <w:rFonts w:ascii="Arial" w:hAnsi="Arial"/>
        <w:b/>
        <w:color w:val="404040"/>
        <w:sz w:val="22"/>
      </w:rPr>
      <w:tblPr/>
      <w:tcPr>
        <w:tcBorders>
          <w:top w:val="single" w:sz="4" w:space="0" w:color="7CB9E6" w:themeColor="accent6" w:themeTint="90"/>
          <w:left w:val="none" w:sz="4" w:space="0" w:color="000000"/>
          <w:bottom w:val="single" w:sz="4" w:space="0" w:color="7CB9E6" w:themeColor="accent6" w:themeTint="90"/>
          <w:right w:val="none" w:sz="4" w:space="0" w:color="000000"/>
        </w:tcBorders>
      </w:tcPr>
    </w:tblStylePr>
    <w:tblStylePr w:type="lastRow">
      <w:rPr>
        <w:rFonts w:ascii="Arial" w:hAnsi="Arial"/>
        <w:b/>
        <w:color w:val="404040"/>
        <w:sz w:val="22"/>
      </w:rPr>
      <w:tblPr/>
      <w:tcPr>
        <w:tcBorders>
          <w:top w:val="single" w:sz="4" w:space="0" w:color="7CB9E6" w:themeColor="accent6" w:themeTint="90"/>
          <w:left w:val="none" w:sz="4" w:space="0" w:color="000000"/>
          <w:bottom w:val="single" w:sz="4" w:space="0" w:color="7CB9E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5E0F4" w:themeFill="accent6" w:themeFillTint="40"/>
      </w:tcPr>
    </w:tblStylePr>
    <w:tblStylePr w:type="band1Horz">
      <w:rPr>
        <w:rFonts w:ascii="Arial" w:hAnsi="Arial"/>
        <w:color w:val="404040"/>
        <w:sz w:val="22"/>
      </w:rPr>
      <w:tblPr/>
      <w:tcPr>
        <w:shd w:val="clear" w:color="auto" w:fill="C5E0F4"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3494BA" w:themeColor="accent1"/>
        <w:left w:val="single" w:sz="4" w:space="0" w:color="3494BA" w:themeColor="accent1"/>
        <w:bottom w:val="single" w:sz="4" w:space="0" w:color="3494BA" w:themeColor="accent1"/>
        <w:right w:val="single" w:sz="4" w:space="0" w:color="3494BA" w:themeColor="accent1"/>
      </w:tblBorders>
    </w:tblPr>
    <w:tblStylePr w:type="firstRow">
      <w:rPr>
        <w:rFonts w:ascii="Arial" w:hAnsi="Arial"/>
        <w:b/>
        <w:color w:val="FFFFFF"/>
        <w:sz w:val="22"/>
      </w:rPr>
      <w:tblPr/>
      <w:tcPr>
        <w:shd w:val="clear" w:color="auto" w:fill="3494B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494BA" w:themeColor="accent1"/>
          <w:right w:val="single" w:sz="4" w:space="0" w:color="3494BA" w:themeColor="accent1"/>
        </w:tcBorders>
      </w:tcPr>
    </w:tblStylePr>
    <w:tblStylePr w:type="band1Horz">
      <w:rPr>
        <w:rFonts w:ascii="Arial" w:hAnsi="Arial"/>
        <w:color w:val="404040"/>
        <w:sz w:val="22"/>
      </w:rPr>
      <w:tblPr/>
      <w:tcPr>
        <w:tcBorders>
          <w:top w:val="single" w:sz="4" w:space="0" w:color="3494BA" w:themeColor="accent1"/>
          <w:bottom w:val="single" w:sz="4" w:space="0" w:color="3494BA"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9CD3D9" w:themeColor="accent2" w:themeTint="97"/>
        <w:left w:val="single" w:sz="4" w:space="0" w:color="9CD3D9" w:themeColor="accent2" w:themeTint="97"/>
        <w:bottom w:val="single" w:sz="4" w:space="0" w:color="9CD3D9" w:themeColor="accent2" w:themeTint="97"/>
        <w:right w:val="single" w:sz="4" w:space="0" w:color="9CD3D9" w:themeColor="accent2" w:themeTint="97"/>
      </w:tblBorders>
    </w:tblPr>
    <w:tblStylePr w:type="firstRow">
      <w:rPr>
        <w:rFonts w:ascii="Arial" w:hAnsi="Arial"/>
        <w:b/>
        <w:color w:val="FFFFFF"/>
        <w:sz w:val="22"/>
      </w:rPr>
      <w:tblPr/>
      <w:tcPr>
        <w:shd w:val="clear" w:color="auto" w:fill="9CD3D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CD3D9" w:themeColor="accent2" w:themeTint="97"/>
          <w:right w:val="single" w:sz="4" w:space="0" w:color="9CD3D9" w:themeColor="accent2" w:themeTint="97"/>
        </w:tcBorders>
      </w:tcPr>
    </w:tblStylePr>
    <w:tblStylePr w:type="band1Horz">
      <w:rPr>
        <w:rFonts w:ascii="Arial" w:hAnsi="Arial"/>
        <w:color w:val="404040"/>
        <w:sz w:val="22"/>
      </w:rPr>
      <w:tblPr/>
      <w:tcPr>
        <w:tcBorders>
          <w:top w:val="single" w:sz="4" w:space="0" w:color="9CD3D9" w:themeColor="accent2" w:themeTint="97"/>
          <w:bottom w:val="single" w:sz="4" w:space="0" w:color="9CD3D9"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ACD7CA" w:themeColor="accent3" w:themeTint="98"/>
        <w:left w:val="single" w:sz="4" w:space="0" w:color="ACD7CA" w:themeColor="accent3" w:themeTint="98"/>
        <w:bottom w:val="single" w:sz="4" w:space="0" w:color="ACD7CA" w:themeColor="accent3" w:themeTint="98"/>
        <w:right w:val="single" w:sz="4" w:space="0" w:color="ACD7CA" w:themeColor="accent3" w:themeTint="98"/>
      </w:tblBorders>
    </w:tblPr>
    <w:tblStylePr w:type="firstRow">
      <w:rPr>
        <w:rFonts w:ascii="Arial" w:hAnsi="Arial"/>
        <w:b/>
        <w:color w:val="FFFFFF"/>
        <w:sz w:val="22"/>
      </w:rPr>
      <w:tblPr/>
      <w:tcPr>
        <w:shd w:val="clear" w:color="auto" w:fill="ACD7CA"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CD7CA" w:themeColor="accent3" w:themeTint="98"/>
          <w:right w:val="single" w:sz="4" w:space="0" w:color="ACD7CA" w:themeColor="accent3" w:themeTint="98"/>
        </w:tcBorders>
      </w:tcPr>
    </w:tblStylePr>
    <w:tblStylePr w:type="band1Horz">
      <w:rPr>
        <w:rFonts w:ascii="Arial" w:hAnsi="Arial"/>
        <w:color w:val="404040"/>
        <w:sz w:val="22"/>
      </w:rPr>
      <w:tblPr/>
      <w:tcPr>
        <w:tcBorders>
          <w:top w:val="single" w:sz="4" w:space="0" w:color="ACD7CA" w:themeColor="accent3" w:themeTint="98"/>
          <w:bottom w:val="single" w:sz="4" w:space="0" w:color="ACD7CA"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AEB9BA" w:themeColor="accent4" w:themeTint="9A"/>
        <w:left w:val="single" w:sz="4" w:space="0" w:color="AEB9BA" w:themeColor="accent4" w:themeTint="9A"/>
        <w:bottom w:val="single" w:sz="4" w:space="0" w:color="AEB9BA" w:themeColor="accent4" w:themeTint="9A"/>
        <w:right w:val="single" w:sz="4" w:space="0" w:color="AEB9BA" w:themeColor="accent4" w:themeTint="9A"/>
      </w:tblBorders>
    </w:tblPr>
    <w:tblStylePr w:type="firstRow">
      <w:rPr>
        <w:rFonts w:ascii="Arial" w:hAnsi="Arial"/>
        <w:b/>
        <w:color w:val="FFFFFF"/>
        <w:sz w:val="22"/>
      </w:rPr>
      <w:tblPr/>
      <w:tcPr>
        <w:shd w:val="clear" w:color="auto" w:fill="AEB9BA"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EB9BA" w:themeColor="accent4" w:themeTint="9A"/>
          <w:right w:val="single" w:sz="4" w:space="0" w:color="AEB9BA" w:themeColor="accent4" w:themeTint="9A"/>
        </w:tcBorders>
      </w:tcPr>
    </w:tblStylePr>
    <w:tblStylePr w:type="band1Horz">
      <w:rPr>
        <w:rFonts w:ascii="Arial" w:hAnsi="Arial"/>
        <w:color w:val="404040"/>
        <w:sz w:val="22"/>
      </w:rPr>
      <w:tblPr/>
      <w:tcPr>
        <w:tcBorders>
          <w:top w:val="single" w:sz="4" w:space="0" w:color="AEB9BA" w:themeColor="accent4" w:themeTint="9A"/>
          <w:bottom w:val="single" w:sz="4" w:space="0" w:color="AEB9BA"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B4CCD2" w:themeColor="accent5" w:themeTint="9A"/>
        <w:left w:val="single" w:sz="4" w:space="0" w:color="B4CCD2" w:themeColor="accent5" w:themeTint="9A"/>
        <w:bottom w:val="single" w:sz="4" w:space="0" w:color="B4CCD2" w:themeColor="accent5" w:themeTint="9A"/>
        <w:right w:val="single" w:sz="4" w:space="0" w:color="B4CCD2" w:themeColor="accent5" w:themeTint="9A"/>
      </w:tblBorders>
    </w:tblPr>
    <w:tblStylePr w:type="firstRow">
      <w:rPr>
        <w:rFonts w:ascii="Arial" w:hAnsi="Arial"/>
        <w:b/>
        <w:color w:val="FFFFFF"/>
        <w:sz w:val="22"/>
      </w:rPr>
      <w:tblPr/>
      <w:tcPr>
        <w:shd w:val="clear" w:color="auto" w:fill="B4CCD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4CCD2" w:themeColor="accent5" w:themeTint="9A"/>
          <w:right w:val="single" w:sz="4" w:space="0" w:color="B4CCD2" w:themeColor="accent5" w:themeTint="9A"/>
        </w:tcBorders>
      </w:tcPr>
    </w:tblStylePr>
    <w:tblStylePr w:type="band1Horz">
      <w:rPr>
        <w:rFonts w:ascii="Arial" w:hAnsi="Arial"/>
        <w:color w:val="404040"/>
        <w:sz w:val="22"/>
      </w:rPr>
      <w:tblPr/>
      <w:tcPr>
        <w:tcBorders>
          <w:top w:val="single" w:sz="4" w:space="0" w:color="B4CCD2" w:themeColor="accent5" w:themeTint="9A"/>
          <w:bottom w:val="single" w:sz="4" w:space="0" w:color="B4CCD2"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75B6E4" w:themeColor="accent6" w:themeTint="98"/>
        <w:left w:val="single" w:sz="4" w:space="0" w:color="75B6E4" w:themeColor="accent6" w:themeTint="98"/>
        <w:bottom w:val="single" w:sz="4" w:space="0" w:color="75B6E4" w:themeColor="accent6" w:themeTint="98"/>
        <w:right w:val="single" w:sz="4" w:space="0" w:color="75B6E4" w:themeColor="accent6" w:themeTint="98"/>
      </w:tblBorders>
    </w:tblPr>
    <w:tblStylePr w:type="firstRow">
      <w:rPr>
        <w:rFonts w:ascii="Arial" w:hAnsi="Arial"/>
        <w:b/>
        <w:color w:val="FFFFFF"/>
        <w:sz w:val="22"/>
      </w:rPr>
      <w:tblPr/>
      <w:tcPr>
        <w:shd w:val="clear" w:color="auto" w:fill="75B6E4"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75B6E4" w:themeColor="accent6" w:themeTint="98"/>
          <w:right w:val="single" w:sz="4" w:space="0" w:color="75B6E4" w:themeColor="accent6" w:themeTint="98"/>
        </w:tcBorders>
      </w:tcPr>
    </w:tblStylePr>
    <w:tblStylePr w:type="band1Horz">
      <w:rPr>
        <w:rFonts w:ascii="Arial" w:hAnsi="Arial"/>
        <w:color w:val="404040"/>
        <w:sz w:val="22"/>
      </w:rPr>
      <w:tblPr/>
      <w:tcPr>
        <w:tcBorders>
          <w:top w:val="single" w:sz="4" w:space="0" w:color="75B6E4" w:themeColor="accent6" w:themeTint="98"/>
          <w:bottom w:val="single" w:sz="4" w:space="0" w:color="75B6E4"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86C4DD" w:themeColor="accent1" w:themeTint="90"/>
        <w:left w:val="single" w:sz="4" w:space="0" w:color="86C4DD" w:themeColor="accent1" w:themeTint="90"/>
        <w:bottom w:val="single" w:sz="4" w:space="0" w:color="86C4DD" w:themeColor="accent1" w:themeTint="90"/>
        <w:right w:val="single" w:sz="4" w:space="0" w:color="86C4DD" w:themeColor="accent1" w:themeTint="90"/>
        <w:insideH w:val="single" w:sz="4" w:space="0" w:color="86C4DD" w:themeColor="accent1" w:themeTint="90"/>
      </w:tblBorders>
    </w:tblPr>
    <w:tblStylePr w:type="firstRow">
      <w:rPr>
        <w:rFonts w:ascii="Arial" w:hAnsi="Arial"/>
        <w:b/>
        <w:color w:val="FFFFFF"/>
        <w:sz w:val="22"/>
      </w:rPr>
      <w:tblPr/>
      <w:tcPr>
        <w:shd w:val="clear" w:color="auto" w:fill="3494B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9E5F0" w:themeFill="accent1" w:themeFillTint="40"/>
      </w:tcPr>
    </w:tblStylePr>
    <w:tblStylePr w:type="band1Horz">
      <w:rPr>
        <w:rFonts w:ascii="Arial" w:hAnsi="Arial"/>
        <w:color w:val="404040"/>
        <w:sz w:val="22"/>
      </w:rPr>
      <w:tblPr/>
      <w:tcPr>
        <w:shd w:val="clear" w:color="auto" w:fill="C9E5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A0D5DB" w:themeColor="accent2" w:themeTint="90"/>
        <w:left w:val="single" w:sz="4" w:space="0" w:color="A0D5DB" w:themeColor="accent2" w:themeTint="90"/>
        <w:bottom w:val="single" w:sz="4" w:space="0" w:color="A0D5DB" w:themeColor="accent2" w:themeTint="90"/>
        <w:right w:val="single" w:sz="4" w:space="0" w:color="A0D5DB" w:themeColor="accent2" w:themeTint="90"/>
        <w:insideH w:val="single" w:sz="4" w:space="0" w:color="A0D5DB" w:themeColor="accent2" w:themeTint="90"/>
      </w:tblBorders>
    </w:tblPr>
    <w:tblStylePr w:type="firstRow">
      <w:rPr>
        <w:rFonts w:ascii="Arial" w:hAnsi="Arial"/>
        <w:b/>
        <w:color w:val="FFFFFF"/>
        <w:sz w:val="22"/>
      </w:rPr>
      <w:tblPr/>
      <w:tcPr>
        <w:shd w:val="clear" w:color="auto" w:fill="58B6C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4ECEF" w:themeFill="accent2" w:themeFillTint="40"/>
      </w:tcPr>
    </w:tblStylePr>
    <w:tblStylePr w:type="band1Horz">
      <w:rPr>
        <w:rFonts w:ascii="Arial" w:hAnsi="Arial"/>
        <w:color w:val="404040"/>
        <w:sz w:val="22"/>
      </w:rPr>
      <w:tblPr/>
      <w:tcPr>
        <w:shd w:val="clear" w:color="auto" w:fill="D4ECEF"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B0D9CD" w:themeColor="accent3" w:themeTint="90"/>
        <w:left w:val="single" w:sz="4" w:space="0" w:color="B0D9CD" w:themeColor="accent3" w:themeTint="90"/>
        <w:bottom w:val="single" w:sz="4" w:space="0" w:color="B0D9CD" w:themeColor="accent3" w:themeTint="90"/>
        <w:right w:val="single" w:sz="4" w:space="0" w:color="B0D9CD" w:themeColor="accent3" w:themeTint="90"/>
        <w:insideH w:val="single" w:sz="4" w:space="0" w:color="B0D9CD" w:themeColor="accent3" w:themeTint="90"/>
      </w:tblBorders>
    </w:tblPr>
    <w:tblStylePr w:type="firstRow">
      <w:rPr>
        <w:rFonts w:ascii="Arial" w:hAnsi="Arial"/>
        <w:b/>
        <w:color w:val="FFFFFF"/>
        <w:sz w:val="22"/>
      </w:rPr>
      <w:tblPr/>
      <w:tcPr>
        <w:shd w:val="clear" w:color="auto" w:fill="75BDA7"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EE8" w:themeFill="accent3" w:themeFillTint="40"/>
      </w:tcPr>
    </w:tblStylePr>
    <w:tblStylePr w:type="band1Horz">
      <w:rPr>
        <w:rFonts w:ascii="Arial" w:hAnsi="Arial"/>
        <w:color w:val="404040"/>
        <w:sz w:val="22"/>
      </w:rPr>
      <w:tblPr/>
      <w:tcPr>
        <w:shd w:val="clear" w:color="auto" w:fill="DCEE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3BEBF" w:themeColor="accent4" w:themeTint="90"/>
        <w:left w:val="single" w:sz="4" w:space="0" w:color="B3BEBF" w:themeColor="accent4" w:themeTint="90"/>
        <w:bottom w:val="single" w:sz="4" w:space="0" w:color="B3BEBF" w:themeColor="accent4" w:themeTint="90"/>
        <w:right w:val="single" w:sz="4" w:space="0" w:color="B3BEBF" w:themeColor="accent4" w:themeTint="90"/>
        <w:insideH w:val="single" w:sz="4" w:space="0" w:color="B3BEBF" w:themeColor="accent4" w:themeTint="90"/>
      </w:tblBorders>
    </w:tblPr>
    <w:tblStylePr w:type="firstRow">
      <w:rPr>
        <w:rFonts w:ascii="Arial" w:hAnsi="Arial"/>
        <w:b/>
        <w:color w:val="FFFFFF"/>
        <w:sz w:val="22"/>
      </w:rPr>
      <w:tblPr/>
      <w:tcPr>
        <w:shd w:val="clear" w:color="auto" w:fill="7A8C8E"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2E2" w:themeFill="accent4" w:themeFillTint="40"/>
      </w:tcPr>
    </w:tblStylePr>
    <w:tblStylePr w:type="band1Horz">
      <w:rPr>
        <w:rFonts w:ascii="Arial" w:hAnsi="Arial"/>
        <w:color w:val="404040"/>
        <w:sz w:val="22"/>
      </w:rPr>
      <w:tblPr/>
      <w:tcPr>
        <w:shd w:val="clear" w:color="auto" w:fill="DDE2E2"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B9D0D5" w:themeColor="accent5" w:themeTint="90"/>
        <w:left w:val="single" w:sz="4" w:space="0" w:color="B9D0D5" w:themeColor="accent5" w:themeTint="90"/>
        <w:bottom w:val="single" w:sz="4" w:space="0" w:color="B9D0D5" w:themeColor="accent5" w:themeTint="90"/>
        <w:right w:val="single" w:sz="4" w:space="0" w:color="B9D0D5" w:themeColor="accent5" w:themeTint="90"/>
        <w:insideH w:val="single" w:sz="4" w:space="0" w:color="B9D0D5" w:themeColor="accent5" w:themeTint="90"/>
      </w:tblBorders>
    </w:tblPr>
    <w:tblStylePr w:type="firstRow">
      <w:rPr>
        <w:rFonts w:ascii="Arial" w:hAnsi="Arial"/>
        <w:b/>
        <w:color w:val="FFFFFF"/>
        <w:sz w:val="22"/>
      </w:rPr>
      <w:tblPr/>
      <w:tcPr>
        <w:shd w:val="clear" w:color="auto" w:fill="84ACB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0EAEC" w:themeFill="accent5" w:themeFillTint="40"/>
      </w:tcPr>
    </w:tblStylePr>
    <w:tblStylePr w:type="band1Horz">
      <w:rPr>
        <w:rFonts w:ascii="Arial" w:hAnsi="Arial"/>
        <w:color w:val="404040"/>
        <w:sz w:val="22"/>
      </w:rPr>
      <w:tblPr/>
      <w:tcPr>
        <w:shd w:val="clear" w:color="auto" w:fill="E0EAEC"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7CB9E6" w:themeColor="accent6" w:themeTint="90"/>
        <w:left w:val="single" w:sz="4" w:space="0" w:color="7CB9E6" w:themeColor="accent6" w:themeTint="90"/>
        <w:bottom w:val="single" w:sz="4" w:space="0" w:color="7CB9E6" w:themeColor="accent6" w:themeTint="90"/>
        <w:right w:val="single" w:sz="4" w:space="0" w:color="7CB9E6" w:themeColor="accent6" w:themeTint="90"/>
        <w:insideH w:val="single" w:sz="4" w:space="0" w:color="7CB9E6" w:themeColor="accent6" w:themeTint="90"/>
      </w:tblBorders>
    </w:tblPr>
    <w:tblStylePr w:type="firstRow">
      <w:rPr>
        <w:rFonts w:ascii="Arial" w:hAnsi="Arial"/>
        <w:b/>
        <w:color w:val="FFFFFF"/>
        <w:sz w:val="22"/>
      </w:rPr>
      <w:tblPr/>
      <w:tcPr>
        <w:shd w:val="clear" w:color="auto" w:fill="2683C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5E0F4" w:themeFill="accent6" w:themeFillTint="40"/>
      </w:tcPr>
    </w:tblStylePr>
    <w:tblStylePr w:type="band1Horz">
      <w:rPr>
        <w:rFonts w:ascii="Arial" w:hAnsi="Arial"/>
        <w:color w:val="404040"/>
        <w:sz w:val="22"/>
      </w:rPr>
      <w:tblPr/>
      <w:tcPr>
        <w:shd w:val="clear" w:color="auto" w:fill="C5E0F4"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3494BA" w:themeColor="accent1"/>
        <w:left w:val="single" w:sz="32" w:space="0" w:color="3494BA" w:themeColor="accent1"/>
        <w:bottom w:val="single" w:sz="32" w:space="0" w:color="3494BA" w:themeColor="accent1"/>
        <w:right w:val="single" w:sz="32" w:space="0" w:color="3494BA" w:themeColor="accent1"/>
      </w:tblBorders>
      <w:shd w:val="clear" w:color="auto" w:fill="3494BA" w:themeFill="accent1"/>
    </w:tblPr>
    <w:tblStylePr w:type="firstRow">
      <w:rPr>
        <w:rFonts w:ascii="Arial" w:hAnsi="Arial"/>
        <w:b/>
        <w:color w:val="FFFFFF" w:themeColor="light1"/>
        <w:sz w:val="22"/>
      </w:rPr>
      <w:tblPr/>
      <w:tcPr>
        <w:tcBorders>
          <w:top w:val="single" w:sz="32" w:space="0" w:color="3494BA" w:themeColor="accent1"/>
          <w:bottom w:val="single" w:sz="12" w:space="0" w:color="FFFFFF" w:themeColor="light1"/>
        </w:tcBorders>
        <w:shd w:val="clear" w:color="auto" w:fill="3494BA"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3494BA" w:themeColor="accent1"/>
          <w:right w:val="single" w:sz="4" w:space="0" w:color="FFFFFF" w:themeColor="light1"/>
        </w:tcBorders>
      </w:tcPr>
    </w:tblStylePr>
    <w:tblStylePr w:type="lastCol">
      <w:tblPr/>
      <w:tcPr>
        <w:tcBorders>
          <w:left w:val="single" w:sz="4" w:space="0" w:color="FFFFFF" w:themeColor="light1"/>
          <w:right w:val="single" w:sz="32" w:space="0" w:color="3494BA" w:themeColor="accent1"/>
        </w:tcBorders>
      </w:tcPr>
    </w:tblStylePr>
    <w:tblStylePr w:type="band1Vert">
      <w:tblPr/>
      <w:tcPr>
        <w:tcBorders>
          <w:left w:val="single" w:sz="4" w:space="0" w:color="FFFFFF" w:themeColor="light1"/>
          <w:right w:val="single" w:sz="4" w:space="0" w:color="FFFFFF" w:themeColor="light1"/>
        </w:tcBorders>
        <w:shd w:val="clear" w:color="auto" w:fill="3494BA"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3494BA" w:themeFill="accent1"/>
      </w:tcPr>
    </w:tblStylePr>
    <w:tblStylePr w:type="band2Horz">
      <w:tblPr/>
      <w:tcPr>
        <w:tcBorders>
          <w:top w:val="single" w:sz="4" w:space="0" w:color="FFFFFF" w:themeColor="light1"/>
          <w:bottom w:val="single" w:sz="4" w:space="0" w:color="FFFFFF" w:themeColor="light1"/>
        </w:tcBorders>
        <w:shd w:val="clear" w:color="auto" w:fill="3494BA"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9CD3D9" w:themeColor="accent2" w:themeTint="97"/>
        <w:left w:val="single" w:sz="32" w:space="0" w:color="9CD3D9" w:themeColor="accent2" w:themeTint="97"/>
        <w:bottom w:val="single" w:sz="32" w:space="0" w:color="9CD3D9" w:themeColor="accent2" w:themeTint="97"/>
        <w:right w:val="single" w:sz="32" w:space="0" w:color="9CD3D9" w:themeColor="accent2" w:themeTint="97"/>
      </w:tblBorders>
      <w:shd w:val="clear" w:color="auto" w:fill="9CD3D9" w:themeFill="accent2" w:themeFillTint="97"/>
    </w:tblPr>
    <w:tblStylePr w:type="firstRow">
      <w:rPr>
        <w:rFonts w:ascii="Arial" w:hAnsi="Arial"/>
        <w:b/>
        <w:color w:val="FFFFFF" w:themeColor="light1"/>
        <w:sz w:val="22"/>
      </w:rPr>
      <w:tblPr/>
      <w:tcPr>
        <w:tcBorders>
          <w:top w:val="single" w:sz="32" w:space="0" w:color="9CD3D9" w:themeColor="accent2" w:themeTint="97"/>
          <w:bottom w:val="single" w:sz="12" w:space="0" w:color="FFFFFF" w:themeColor="light1"/>
        </w:tcBorders>
        <w:shd w:val="clear" w:color="auto" w:fill="9CD3D9"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CD3D9" w:themeColor="accent2" w:themeTint="97"/>
          <w:right w:val="single" w:sz="4" w:space="0" w:color="FFFFFF" w:themeColor="light1"/>
        </w:tcBorders>
      </w:tcPr>
    </w:tblStylePr>
    <w:tblStylePr w:type="lastCol">
      <w:tblPr/>
      <w:tcPr>
        <w:tcBorders>
          <w:left w:val="single" w:sz="4" w:space="0" w:color="FFFFFF" w:themeColor="light1"/>
          <w:right w:val="single" w:sz="32" w:space="0" w:color="9CD3D9" w:themeColor="accent2" w:themeTint="97"/>
        </w:tcBorders>
      </w:tcPr>
    </w:tblStylePr>
    <w:tblStylePr w:type="band1Vert">
      <w:tblPr/>
      <w:tcPr>
        <w:tcBorders>
          <w:left w:val="single" w:sz="4" w:space="0" w:color="FFFFFF" w:themeColor="light1"/>
          <w:right w:val="single" w:sz="4" w:space="0" w:color="FFFFFF" w:themeColor="light1"/>
        </w:tcBorders>
        <w:shd w:val="clear" w:color="auto" w:fill="9CD3D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CD3D9" w:themeFill="accent2" w:themeFillTint="97"/>
      </w:tcPr>
    </w:tblStylePr>
    <w:tblStylePr w:type="band2Horz">
      <w:tblPr/>
      <w:tcPr>
        <w:tcBorders>
          <w:top w:val="single" w:sz="4" w:space="0" w:color="FFFFFF" w:themeColor="light1"/>
          <w:bottom w:val="single" w:sz="4" w:space="0" w:color="FFFFFF" w:themeColor="light1"/>
        </w:tcBorders>
        <w:shd w:val="clear" w:color="auto" w:fill="9CD3D9"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ACD7CA" w:themeColor="accent3" w:themeTint="98"/>
        <w:left w:val="single" w:sz="32" w:space="0" w:color="ACD7CA" w:themeColor="accent3" w:themeTint="98"/>
        <w:bottom w:val="single" w:sz="32" w:space="0" w:color="ACD7CA" w:themeColor="accent3" w:themeTint="98"/>
        <w:right w:val="single" w:sz="32" w:space="0" w:color="ACD7CA" w:themeColor="accent3" w:themeTint="98"/>
      </w:tblBorders>
      <w:shd w:val="clear" w:color="auto" w:fill="ACD7CA" w:themeFill="accent3" w:themeFillTint="98"/>
    </w:tblPr>
    <w:tblStylePr w:type="firstRow">
      <w:rPr>
        <w:rFonts w:ascii="Arial" w:hAnsi="Arial"/>
        <w:b/>
        <w:color w:val="FFFFFF" w:themeColor="light1"/>
        <w:sz w:val="22"/>
      </w:rPr>
      <w:tblPr/>
      <w:tcPr>
        <w:tcBorders>
          <w:top w:val="single" w:sz="32" w:space="0" w:color="ACD7CA" w:themeColor="accent3" w:themeTint="98"/>
          <w:bottom w:val="single" w:sz="12" w:space="0" w:color="FFFFFF" w:themeColor="light1"/>
        </w:tcBorders>
        <w:shd w:val="clear" w:color="auto" w:fill="ACD7CA"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CD7CA" w:themeColor="accent3" w:themeTint="98"/>
          <w:right w:val="single" w:sz="4" w:space="0" w:color="FFFFFF" w:themeColor="light1"/>
        </w:tcBorders>
      </w:tcPr>
    </w:tblStylePr>
    <w:tblStylePr w:type="lastCol">
      <w:tblPr/>
      <w:tcPr>
        <w:tcBorders>
          <w:left w:val="single" w:sz="4" w:space="0" w:color="FFFFFF" w:themeColor="light1"/>
          <w:right w:val="single" w:sz="32" w:space="0" w:color="ACD7CA" w:themeColor="accent3" w:themeTint="98"/>
        </w:tcBorders>
      </w:tcPr>
    </w:tblStylePr>
    <w:tblStylePr w:type="band1Vert">
      <w:tblPr/>
      <w:tcPr>
        <w:tcBorders>
          <w:left w:val="single" w:sz="4" w:space="0" w:color="FFFFFF" w:themeColor="light1"/>
          <w:right w:val="single" w:sz="4" w:space="0" w:color="FFFFFF" w:themeColor="light1"/>
        </w:tcBorders>
        <w:shd w:val="clear" w:color="auto" w:fill="ACD7CA"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CD7CA" w:themeFill="accent3" w:themeFillTint="98"/>
      </w:tcPr>
    </w:tblStylePr>
    <w:tblStylePr w:type="band2Horz">
      <w:tblPr/>
      <w:tcPr>
        <w:tcBorders>
          <w:top w:val="single" w:sz="4" w:space="0" w:color="FFFFFF" w:themeColor="light1"/>
          <w:bottom w:val="single" w:sz="4" w:space="0" w:color="FFFFFF" w:themeColor="light1"/>
        </w:tcBorders>
        <w:shd w:val="clear" w:color="auto" w:fill="ACD7CA"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AEB9BA" w:themeColor="accent4" w:themeTint="9A"/>
        <w:left w:val="single" w:sz="32" w:space="0" w:color="AEB9BA" w:themeColor="accent4" w:themeTint="9A"/>
        <w:bottom w:val="single" w:sz="32" w:space="0" w:color="AEB9BA" w:themeColor="accent4" w:themeTint="9A"/>
        <w:right w:val="single" w:sz="32" w:space="0" w:color="AEB9BA" w:themeColor="accent4" w:themeTint="9A"/>
      </w:tblBorders>
      <w:shd w:val="clear" w:color="auto" w:fill="AEB9BA" w:themeFill="accent4" w:themeFillTint="9A"/>
    </w:tblPr>
    <w:tblStylePr w:type="firstRow">
      <w:rPr>
        <w:rFonts w:ascii="Arial" w:hAnsi="Arial"/>
        <w:b/>
        <w:color w:val="FFFFFF" w:themeColor="light1"/>
        <w:sz w:val="22"/>
      </w:rPr>
      <w:tblPr/>
      <w:tcPr>
        <w:tcBorders>
          <w:top w:val="single" w:sz="32" w:space="0" w:color="AEB9BA" w:themeColor="accent4" w:themeTint="9A"/>
          <w:bottom w:val="single" w:sz="12" w:space="0" w:color="FFFFFF" w:themeColor="light1"/>
        </w:tcBorders>
        <w:shd w:val="clear" w:color="auto" w:fill="AEB9BA"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EB9BA" w:themeColor="accent4" w:themeTint="9A"/>
          <w:right w:val="single" w:sz="4" w:space="0" w:color="FFFFFF" w:themeColor="light1"/>
        </w:tcBorders>
      </w:tcPr>
    </w:tblStylePr>
    <w:tblStylePr w:type="lastCol">
      <w:tblPr/>
      <w:tcPr>
        <w:tcBorders>
          <w:left w:val="single" w:sz="4" w:space="0" w:color="FFFFFF" w:themeColor="light1"/>
          <w:right w:val="single" w:sz="32" w:space="0" w:color="AEB9BA" w:themeColor="accent4" w:themeTint="9A"/>
        </w:tcBorders>
      </w:tcPr>
    </w:tblStylePr>
    <w:tblStylePr w:type="band1Vert">
      <w:tblPr/>
      <w:tcPr>
        <w:tcBorders>
          <w:left w:val="single" w:sz="4" w:space="0" w:color="FFFFFF" w:themeColor="light1"/>
          <w:right w:val="single" w:sz="4" w:space="0" w:color="FFFFFF" w:themeColor="light1"/>
        </w:tcBorders>
        <w:shd w:val="clear" w:color="auto" w:fill="AEB9BA"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EB9BA" w:themeFill="accent4" w:themeFillTint="9A"/>
      </w:tcPr>
    </w:tblStylePr>
    <w:tblStylePr w:type="band2Horz">
      <w:tblPr/>
      <w:tcPr>
        <w:tcBorders>
          <w:top w:val="single" w:sz="4" w:space="0" w:color="FFFFFF" w:themeColor="light1"/>
          <w:bottom w:val="single" w:sz="4" w:space="0" w:color="FFFFFF" w:themeColor="light1"/>
        </w:tcBorders>
        <w:shd w:val="clear" w:color="auto" w:fill="AEB9BA"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B4CCD2" w:themeColor="accent5" w:themeTint="9A"/>
        <w:left w:val="single" w:sz="32" w:space="0" w:color="B4CCD2" w:themeColor="accent5" w:themeTint="9A"/>
        <w:bottom w:val="single" w:sz="32" w:space="0" w:color="B4CCD2" w:themeColor="accent5" w:themeTint="9A"/>
        <w:right w:val="single" w:sz="32" w:space="0" w:color="B4CCD2" w:themeColor="accent5" w:themeTint="9A"/>
      </w:tblBorders>
      <w:shd w:val="clear" w:color="auto" w:fill="B4CCD2" w:themeFill="accent5" w:themeFillTint="9A"/>
    </w:tblPr>
    <w:tblStylePr w:type="firstRow">
      <w:rPr>
        <w:rFonts w:ascii="Arial" w:hAnsi="Arial"/>
        <w:b/>
        <w:color w:val="FFFFFF" w:themeColor="light1"/>
        <w:sz w:val="22"/>
      </w:rPr>
      <w:tblPr/>
      <w:tcPr>
        <w:tcBorders>
          <w:top w:val="single" w:sz="32" w:space="0" w:color="B4CCD2" w:themeColor="accent5" w:themeTint="9A"/>
          <w:bottom w:val="single" w:sz="12" w:space="0" w:color="FFFFFF" w:themeColor="light1"/>
        </w:tcBorders>
        <w:shd w:val="clear" w:color="auto" w:fill="B4CCD2"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4CCD2" w:themeColor="accent5" w:themeTint="9A"/>
          <w:right w:val="single" w:sz="4" w:space="0" w:color="FFFFFF" w:themeColor="light1"/>
        </w:tcBorders>
      </w:tcPr>
    </w:tblStylePr>
    <w:tblStylePr w:type="lastCol">
      <w:tblPr/>
      <w:tcPr>
        <w:tcBorders>
          <w:left w:val="single" w:sz="4" w:space="0" w:color="FFFFFF" w:themeColor="light1"/>
          <w:right w:val="single" w:sz="32" w:space="0" w:color="B4CCD2" w:themeColor="accent5" w:themeTint="9A"/>
        </w:tcBorders>
      </w:tcPr>
    </w:tblStylePr>
    <w:tblStylePr w:type="band1Vert">
      <w:tblPr/>
      <w:tcPr>
        <w:tcBorders>
          <w:left w:val="single" w:sz="4" w:space="0" w:color="FFFFFF" w:themeColor="light1"/>
          <w:right w:val="single" w:sz="4" w:space="0" w:color="FFFFFF" w:themeColor="light1"/>
        </w:tcBorders>
        <w:shd w:val="clear" w:color="auto" w:fill="B4CCD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4CCD2" w:themeFill="accent5" w:themeFillTint="9A"/>
      </w:tcPr>
    </w:tblStylePr>
    <w:tblStylePr w:type="band2Horz">
      <w:tblPr/>
      <w:tcPr>
        <w:tcBorders>
          <w:top w:val="single" w:sz="4" w:space="0" w:color="FFFFFF" w:themeColor="light1"/>
          <w:bottom w:val="single" w:sz="4" w:space="0" w:color="FFFFFF" w:themeColor="light1"/>
        </w:tcBorders>
        <w:shd w:val="clear" w:color="auto" w:fill="B4CCD2"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75B6E4" w:themeColor="accent6" w:themeTint="98"/>
        <w:left w:val="single" w:sz="32" w:space="0" w:color="75B6E4" w:themeColor="accent6" w:themeTint="98"/>
        <w:bottom w:val="single" w:sz="32" w:space="0" w:color="75B6E4" w:themeColor="accent6" w:themeTint="98"/>
        <w:right w:val="single" w:sz="32" w:space="0" w:color="75B6E4" w:themeColor="accent6" w:themeTint="98"/>
      </w:tblBorders>
      <w:shd w:val="clear" w:color="auto" w:fill="75B6E4" w:themeFill="accent6" w:themeFillTint="98"/>
    </w:tblPr>
    <w:tblStylePr w:type="firstRow">
      <w:rPr>
        <w:rFonts w:ascii="Arial" w:hAnsi="Arial"/>
        <w:b/>
        <w:color w:val="FFFFFF" w:themeColor="light1"/>
        <w:sz w:val="22"/>
      </w:rPr>
      <w:tblPr/>
      <w:tcPr>
        <w:tcBorders>
          <w:top w:val="single" w:sz="32" w:space="0" w:color="75B6E4" w:themeColor="accent6" w:themeTint="98"/>
          <w:bottom w:val="single" w:sz="12" w:space="0" w:color="FFFFFF" w:themeColor="light1"/>
        </w:tcBorders>
        <w:shd w:val="clear" w:color="auto" w:fill="75B6E4"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5B6E4" w:themeColor="accent6" w:themeTint="98"/>
          <w:right w:val="single" w:sz="4" w:space="0" w:color="FFFFFF" w:themeColor="light1"/>
        </w:tcBorders>
      </w:tcPr>
    </w:tblStylePr>
    <w:tblStylePr w:type="lastCol">
      <w:tblPr/>
      <w:tcPr>
        <w:tcBorders>
          <w:left w:val="single" w:sz="4" w:space="0" w:color="FFFFFF" w:themeColor="light1"/>
          <w:right w:val="single" w:sz="32" w:space="0" w:color="75B6E4" w:themeColor="accent6" w:themeTint="98"/>
        </w:tcBorders>
      </w:tcPr>
    </w:tblStylePr>
    <w:tblStylePr w:type="band1Vert">
      <w:tblPr/>
      <w:tcPr>
        <w:tcBorders>
          <w:left w:val="single" w:sz="4" w:space="0" w:color="FFFFFF" w:themeColor="light1"/>
          <w:right w:val="single" w:sz="4" w:space="0" w:color="FFFFFF" w:themeColor="light1"/>
        </w:tcBorders>
        <w:shd w:val="clear" w:color="auto" w:fill="75B6E4"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5B6E4" w:themeFill="accent6" w:themeFillTint="98"/>
      </w:tcPr>
    </w:tblStylePr>
    <w:tblStylePr w:type="band2Horz">
      <w:tblPr/>
      <w:tcPr>
        <w:tcBorders>
          <w:top w:val="single" w:sz="4" w:space="0" w:color="FFFFFF" w:themeColor="light1"/>
          <w:bottom w:val="single" w:sz="4" w:space="0" w:color="FFFFFF" w:themeColor="light1"/>
        </w:tcBorders>
        <w:shd w:val="clear" w:color="auto" w:fill="75B6E4"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3494BA" w:themeColor="accent1"/>
        <w:bottom w:val="single" w:sz="4" w:space="0" w:color="3494BA" w:themeColor="accent1"/>
      </w:tblBorders>
    </w:tblPr>
    <w:tblStylePr w:type="firstRow">
      <w:rPr>
        <w:b/>
        <w:color w:val="1E566C" w:themeColor="accent1" w:themeShade="95"/>
      </w:rPr>
      <w:tblPr/>
      <w:tcPr>
        <w:tcBorders>
          <w:bottom w:val="single" w:sz="4" w:space="0" w:color="3494BA" w:themeColor="accent1"/>
        </w:tcBorders>
      </w:tcPr>
    </w:tblStylePr>
    <w:tblStylePr w:type="lastRow">
      <w:rPr>
        <w:b/>
        <w:color w:val="1E566C" w:themeColor="accent1" w:themeShade="95"/>
      </w:rPr>
      <w:tblPr/>
      <w:tcPr>
        <w:tcBorders>
          <w:top w:val="single" w:sz="4" w:space="0" w:color="3494BA" w:themeColor="accent1"/>
        </w:tcBorders>
      </w:tcPr>
    </w:tblStylePr>
    <w:tblStylePr w:type="firstCol">
      <w:rPr>
        <w:b/>
        <w:color w:val="1E566C" w:themeColor="accent1" w:themeShade="95"/>
      </w:rPr>
    </w:tblStylePr>
    <w:tblStylePr w:type="lastCol">
      <w:rPr>
        <w:b/>
        <w:color w:val="1E566C" w:themeColor="accent1" w:themeShade="95"/>
      </w:rPr>
    </w:tblStylePr>
    <w:tblStylePr w:type="band1Vert">
      <w:tblPr/>
      <w:tcPr>
        <w:shd w:val="clear" w:color="auto" w:fill="C9E5F0" w:themeFill="accent1" w:themeFillTint="40"/>
      </w:tcPr>
    </w:tblStylePr>
    <w:tblStylePr w:type="band1Horz">
      <w:rPr>
        <w:rFonts w:ascii="Arial" w:hAnsi="Arial"/>
        <w:color w:val="1E566C" w:themeColor="accent1" w:themeShade="95"/>
        <w:sz w:val="22"/>
      </w:rPr>
      <w:tblPr/>
      <w:tcPr>
        <w:shd w:val="clear" w:color="auto" w:fill="C9E5F0" w:themeFill="accent1" w:themeFillTint="40"/>
      </w:tcPr>
    </w:tblStylePr>
    <w:tblStylePr w:type="band2Horz">
      <w:rPr>
        <w:rFonts w:ascii="Arial" w:hAnsi="Arial"/>
        <w:color w:val="1E566C"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9CD3D9" w:themeColor="accent2" w:themeTint="97"/>
        <w:bottom w:val="single" w:sz="4" w:space="0" w:color="9CD3D9" w:themeColor="accent2" w:themeTint="97"/>
      </w:tblBorders>
    </w:tblPr>
    <w:tblStylePr w:type="firstRow">
      <w:rPr>
        <w:b/>
        <w:color w:val="9CD3D9" w:themeColor="accent2" w:themeTint="97" w:themeShade="95"/>
      </w:rPr>
      <w:tblPr/>
      <w:tcPr>
        <w:tcBorders>
          <w:bottom w:val="single" w:sz="4" w:space="0" w:color="9CD3D9" w:themeColor="accent2" w:themeTint="97"/>
        </w:tcBorders>
      </w:tcPr>
    </w:tblStylePr>
    <w:tblStylePr w:type="lastRow">
      <w:rPr>
        <w:b/>
        <w:color w:val="9CD3D9" w:themeColor="accent2" w:themeTint="97" w:themeShade="95"/>
      </w:rPr>
      <w:tblPr/>
      <w:tcPr>
        <w:tcBorders>
          <w:top w:val="single" w:sz="4" w:space="0" w:color="9CD3D9" w:themeColor="accent2" w:themeTint="97"/>
        </w:tcBorders>
      </w:tcPr>
    </w:tblStylePr>
    <w:tblStylePr w:type="firstCol">
      <w:rPr>
        <w:b/>
        <w:color w:val="9CD3D9" w:themeColor="accent2" w:themeTint="97" w:themeShade="95"/>
      </w:rPr>
    </w:tblStylePr>
    <w:tblStylePr w:type="lastCol">
      <w:rPr>
        <w:b/>
        <w:color w:val="9CD3D9" w:themeColor="accent2" w:themeTint="97" w:themeShade="95"/>
      </w:rPr>
    </w:tblStylePr>
    <w:tblStylePr w:type="band1Vert">
      <w:tblPr/>
      <w:tcPr>
        <w:shd w:val="clear" w:color="auto" w:fill="D4ECEF" w:themeFill="accent2" w:themeFillTint="40"/>
      </w:tcPr>
    </w:tblStylePr>
    <w:tblStylePr w:type="band1Horz">
      <w:rPr>
        <w:rFonts w:ascii="Arial" w:hAnsi="Arial"/>
        <w:color w:val="9CD3D9" w:themeColor="accent2" w:themeTint="97" w:themeShade="95"/>
        <w:sz w:val="22"/>
      </w:rPr>
      <w:tblPr/>
      <w:tcPr>
        <w:shd w:val="clear" w:color="auto" w:fill="D4ECEF" w:themeFill="accent2" w:themeFillTint="40"/>
      </w:tcPr>
    </w:tblStylePr>
    <w:tblStylePr w:type="band2Horz">
      <w:rPr>
        <w:rFonts w:ascii="Arial" w:hAnsi="Arial"/>
        <w:color w:val="9CD3D9"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ACD7CA" w:themeColor="accent3" w:themeTint="98"/>
        <w:bottom w:val="single" w:sz="4" w:space="0" w:color="ACD7CA" w:themeColor="accent3" w:themeTint="98"/>
      </w:tblBorders>
    </w:tblPr>
    <w:tblStylePr w:type="firstRow">
      <w:rPr>
        <w:b/>
        <w:color w:val="ACD7CA" w:themeColor="accent3" w:themeTint="98" w:themeShade="95"/>
      </w:rPr>
      <w:tblPr/>
      <w:tcPr>
        <w:tcBorders>
          <w:bottom w:val="single" w:sz="4" w:space="0" w:color="ACD7CA" w:themeColor="accent3" w:themeTint="98"/>
        </w:tcBorders>
      </w:tcPr>
    </w:tblStylePr>
    <w:tblStylePr w:type="lastRow">
      <w:rPr>
        <w:b/>
        <w:color w:val="ACD7CA" w:themeColor="accent3" w:themeTint="98" w:themeShade="95"/>
      </w:rPr>
      <w:tblPr/>
      <w:tcPr>
        <w:tcBorders>
          <w:top w:val="single" w:sz="4" w:space="0" w:color="ACD7CA" w:themeColor="accent3" w:themeTint="98"/>
        </w:tcBorders>
      </w:tcPr>
    </w:tblStylePr>
    <w:tblStylePr w:type="firstCol">
      <w:rPr>
        <w:b/>
        <w:color w:val="ACD7CA" w:themeColor="accent3" w:themeTint="98" w:themeShade="95"/>
      </w:rPr>
    </w:tblStylePr>
    <w:tblStylePr w:type="lastCol">
      <w:rPr>
        <w:b/>
        <w:color w:val="ACD7CA" w:themeColor="accent3" w:themeTint="98" w:themeShade="95"/>
      </w:rPr>
    </w:tblStylePr>
    <w:tblStylePr w:type="band1Vert">
      <w:tblPr/>
      <w:tcPr>
        <w:shd w:val="clear" w:color="auto" w:fill="DCEEE8" w:themeFill="accent3" w:themeFillTint="40"/>
      </w:tcPr>
    </w:tblStylePr>
    <w:tblStylePr w:type="band1Horz">
      <w:rPr>
        <w:rFonts w:ascii="Arial" w:hAnsi="Arial"/>
        <w:color w:val="ACD7CA" w:themeColor="accent3" w:themeTint="98" w:themeShade="95"/>
        <w:sz w:val="22"/>
      </w:rPr>
      <w:tblPr/>
      <w:tcPr>
        <w:shd w:val="clear" w:color="auto" w:fill="DCEEE8" w:themeFill="accent3" w:themeFillTint="40"/>
      </w:tcPr>
    </w:tblStylePr>
    <w:tblStylePr w:type="band2Horz">
      <w:rPr>
        <w:rFonts w:ascii="Arial" w:hAnsi="Arial"/>
        <w:color w:val="ACD7CA"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AEB9BA" w:themeColor="accent4" w:themeTint="9A"/>
        <w:bottom w:val="single" w:sz="4" w:space="0" w:color="AEB9BA" w:themeColor="accent4" w:themeTint="9A"/>
      </w:tblBorders>
    </w:tblPr>
    <w:tblStylePr w:type="firstRow">
      <w:rPr>
        <w:b/>
        <w:color w:val="AEB9BA" w:themeColor="accent4" w:themeTint="9A" w:themeShade="95"/>
      </w:rPr>
      <w:tblPr/>
      <w:tcPr>
        <w:tcBorders>
          <w:bottom w:val="single" w:sz="4" w:space="0" w:color="AEB9BA" w:themeColor="accent4" w:themeTint="9A"/>
        </w:tcBorders>
      </w:tcPr>
    </w:tblStylePr>
    <w:tblStylePr w:type="lastRow">
      <w:rPr>
        <w:b/>
        <w:color w:val="AEB9BA" w:themeColor="accent4" w:themeTint="9A" w:themeShade="95"/>
      </w:rPr>
      <w:tblPr/>
      <w:tcPr>
        <w:tcBorders>
          <w:top w:val="single" w:sz="4" w:space="0" w:color="AEB9BA" w:themeColor="accent4" w:themeTint="9A"/>
        </w:tcBorders>
      </w:tcPr>
    </w:tblStylePr>
    <w:tblStylePr w:type="firstCol">
      <w:rPr>
        <w:b/>
        <w:color w:val="AEB9BA" w:themeColor="accent4" w:themeTint="9A" w:themeShade="95"/>
      </w:rPr>
    </w:tblStylePr>
    <w:tblStylePr w:type="lastCol">
      <w:rPr>
        <w:b/>
        <w:color w:val="AEB9BA" w:themeColor="accent4" w:themeTint="9A" w:themeShade="95"/>
      </w:rPr>
    </w:tblStylePr>
    <w:tblStylePr w:type="band1Vert">
      <w:tblPr/>
      <w:tcPr>
        <w:shd w:val="clear" w:color="auto" w:fill="DDE2E2" w:themeFill="accent4" w:themeFillTint="40"/>
      </w:tcPr>
    </w:tblStylePr>
    <w:tblStylePr w:type="band1Horz">
      <w:rPr>
        <w:rFonts w:ascii="Arial" w:hAnsi="Arial"/>
        <w:color w:val="AEB9BA" w:themeColor="accent4" w:themeTint="9A" w:themeShade="95"/>
        <w:sz w:val="22"/>
      </w:rPr>
      <w:tblPr/>
      <w:tcPr>
        <w:shd w:val="clear" w:color="auto" w:fill="DDE2E2" w:themeFill="accent4" w:themeFillTint="40"/>
      </w:tcPr>
    </w:tblStylePr>
    <w:tblStylePr w:type="band2Horz">
      <w:rPr>
        <w:rFonts w:ascii="Arial" w:hAnsi="Arial"/>
        <w:color w:val="AEB9BA"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B4CCD2" w:themeColor="accent5" w:themeTint="9A"/>
        <w:bottom w:val="single" w:sz="4" w:space="0" w:color="B4CCD2" w:themeColor="accent5" w:themeTint="9A"/>
      </w:tblBorders>
    </w:tblPr>
    <w:tblStylePr w:type="firstRow">
      <w:rPr>
        <w:b/>
        <w:color w:val="B4CCD2" w:themeColor="accent5" w:themeTint="9A" w:themeShade="95"/>
      </w:rPr>
      <w:tblPr/>
      <w:tcPr>
        <w:tcBorders>
          <w:bottom w:val="single" w:sz="4" w:space="0" w:color="B4CCD2" w:themeColor="accent5" w:themeTint="9A"/>
        </w:tcBorders>
      </w:tcPr>
    </w:tblStylePr>
    <w:tblStylePr w:type="lastRow">
      <w:rPr>
        <w:b/>
        <w:color w:val="B4CCD2" w:themeColor="accent5" w:themeTint="9A" w:themeShade="95"/>
      </w:rPr>
      <w:tblPr/>
      <w:tcPr>
        <w:tcBorders>
          <w:top w:val="single" w:sz="4" w:space="0" w:color="B4CCD2" w:themeColor="accent5" w:themeTint="9A"/>
        </w:tcBorders>
      </w:tcPr>
    </w:tblStylePr>
    <w:tblStylePr w:type="firstCol">
      <w:rPr>
        <w:b/>
        <w:color w:val="B4CCD2" w:themeColor="accent5" w:themeTint="9A" w:themeShade="95"/>
      </w:rPr>
    </w:tblStylePr>
    <w:tblStylePr w:type="lastCol">
      <w:rPr>
        <w:b/>
        <w:color w:val="B4CCD2" w:themeColor="accent5" w:themeTint="9A" w:themeShade="95"/>
      </w:rPr>
    </w:tblStylePr>
    <w:tblStylePr w:type="band1Vert">
      <w:tblPr/>
      <w:tcPr>
        <w:shd w:val="clear" w:color="auto" w:fill="E0EAEC" w:themeFill="accent5" w:themeFillTint="40"/>
      </w:tcPr>
    </w:tblStylePr>
    <w:tblStylePr w:type="band1Horz">
      <w:rPr>
        <w:rFonts w:ascii="Arial" w:hAnsi="Arial"/>
        <w:color w:val="B4CCD2" w:themeColor="accent5" w:themeTint="9A" w:themeShade="95"/>
        <w:sz w:val="22"/>
      </w:rPr>
      <w:tblPr/>
      <w:tcPr>
        <w:shd w:val="clear" w:color="auto" w:fill="E0EAEC" w:themeFill="accent5" w:themeFillTint="40"/>
      </w:tcPr>
    </w:tblStylePr>
    <w:tblStylePr w:type="band2Horz">
      <w:rPr>
        <w:rFonts w:ascii="Arial" w:hAnsi="Arial"/>
        <w:color w:val="B4CCD2"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75B6E4" w:themeColor="accent6" w:themeTint="98"/>
        <w:bottom w:val="single" w:sz="4" w:space="0" w:color="75B6E4" w:themeColor="accent6" w:themeTint="98"/>
      </w:tblBorders>
    </w:tblPr>
    <w:tblStylePr w:type="firstRow">
      <w:rPr>
        <w:b/>
        <w:color w:val="75B6E4" w:themeColor="accent6" w:themeTint="98" w:themeShade="95"/>
      </w:rPr>
      <w:tblPr/>
      <w:tcPr>
        <w:tcBorders>
          <w:bottom w:val="single" w:sz="4" w:space="0" w:color="75B6E4" w:themeColor="accent6" w:themeTint="98"/>
        </w:tcBorders>
      </w:tcPr>
    </w:tblStylePr>
    <w:tblStylePr w:type="lastRow">
      <w:rPr>
        <w:b/>
        <w:color w:val="75B6E4" w:themeColor="accent6" w:themeTint="98" w:themeShade="95"/>
      </w:rPr>
      <w:tblPr/>
      <w:tcPr>
        <w:tcBorders>
          <w:top w:val="single" w:sz="4" w:space="0" w:color="75B6E4" w:themeColor="accent6" w:themeTint="98"/>
        </w:tcBorders>
      </w:tcPr>
    </w:tblStylePr>
    <w:tblStylePr w:type="firstCol">
      <w:rPr>
        <w:b/>
        <w:color w:val="75B6E4" w:themeColor="accent6" w:themeTint="98" w:themeShade="95"/>
      </w:rPr>
    </w:tblStylePr>
    <w:tblStylePr w:type="lastCol">
      <w:rPr>
        <w:b/>
        <w:color w:val="75B6E4" w:themeColor="accent6" w:themeTint="98" w:themeShade="95"/>
      </w:rPr>
    </w:tblStylePr>
    <w:tblStylePr w:type="band1Vert">
      <w:tblPr/>
      <w:tcPr>
        <w:shd w:val="clear" w:color="auto" w:fill="C5E0F4" w:themeFill="accent6" w:themeFillTint="40"/>
      </w:tcPr>
    </w:tblStylePr>
    <w:tblStylePr w:type="band1Horz">
      <w:rPr>
        <w:rFonts w:ascii="Arial" w:hAnsi="Arial"/>
        <w:color w:val="75B6E4" w:themeColor="accent6" w:themeTint="98" w:themeShade="95"/>
        <w:sz w:val="22"/>
      </w:rPr>
      <w:tblPr/>
      <w:tcPr>
        <w:shd w:val="clear" w:color="auto" w:fill="C5E0F4" w:themeFill="accent6" w:themeFillTint="40"/>
      </w:tcPr>
    </w:tblStylePr>
    <w:tblStylePr w:type="band2Horz">
      <w:rPr>
        <w:rFonts w:ascii="Arial" w:hAnsi="Arial"/>
        <w:color w:val="75B6E4"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3494BA" w:themeColor="accent1"/>
      </w:tblBorders>
    </w:tblPr>
    <w:tblStylePr w:type="firstRow">
      <w:rPr>
        <w:rFonts w:ascii="Arial" w:hAnsi="Arial"/>
        <w:i/>
        <w:color w:val="1E566C" w:themeColor="accent1" w:themeShade="95"/>
        <w:sz w:val="22"/>
      </w:rPr>
      <w:tblPr/>
      <w:tcPr>
        <w:tcBorders>
          <w:top w:val="none" w:sz="0" w:space="0" w:color="auto"/>
          <w:left w:val="none" w:sz="0" w:space="0" w:color="auto"/>
          <w:bottom w:val="single" w:sz="4" w:space="0" w:color="3494BA" w:themeColor="accent1"/>
          <w:right w:val="none" w:sz="0" w:space="0" w:color="auto"/>
        </w:tcBorders>
        <w:shd w:val="clear" w:color="auto" w:fill="FFFFFF" w:themeFill="light1"/>
      </w:tcPr>
    </w:tblStylePr>
    <w:tblStylePr w:type="lastRow">
      <w:rPr>
        <w:rFonts w:ascii="Arial" w:hAnsi="Arial"/>
        <w:i/>
        <w:color w:val="1E566C" w:themeColor="accent1" w:themeShade="95"/>
        <w:sz w:val="22"/>
      </w:rPr>
      <w:tblPr/>
      <w:tcPr>
        <w:tcBorders>
          <w:top w:val="single" w:sz="4" w:space="0" w:color="3494BA"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1E566C" w:themeColor="accent1" w:themeShade="95"/>
        <w:sz w:val="22"/>
      </w:rPr>
      <w:tblPr/>
      <w:tcPr>
        <w:tcBorders>
          <w:top w:val="none" w:sz="0" w:space="0" w:color="auto"/>
          <w:left w:val="none" w:sz="0" w:space="0" w:color="auto"/>
          <w:bottom w:val="none" w:sz="0" w:space="0" w:color="auto"/>
          <w:right w:val="single" w:sz="4" w:space="0" w:color="3494BA" w:themeColor="accent1"/>
        </w:tcBorders>
        <w:shd w:val="clear" w:color="auto" w:fill="FFFFFF"/>
      </w:tcPr>
    </w:tblStylePr>
    <w:tblStylePr w:type="lastCol">
      <w:rPr>
        <w:rFonts w:ascii="Arial" w:hAnsi="Arial"/>
        <w:i/>
        <w:color w:val="1E566C" w:themeColor="accent1" w:themeShade="95"/>
        <w:sz w:val="22"/>
      </w:rPr>
      <w:tblPr/>
      <w:tcPr>
        <w:tcBorders>
          <w:top w:val="none" w:sz="0" w:space="0" w:color="auto"/>
          <w:left w:val="single" w:sz="4" w:space="0" w:color="3494BA" w:themeColor="accent1"/>
          <w:bottom w:val="none" w:sz="0" w:space="0" w:color="auto"/>
          <w:right w:val="none" w:sz="0" w:space="0" w:color="auto"/>
        </w:tcBorders>
        <w:shd w:val="clear" w:color="auto" w:fill="FFFFFF"/>
      </w:tcPr>
    </w:tblStylePr>
    <w:tblStylePr w:type="band1Vert">
      <w:tblPr/>
      <w:tcPr>
        <w:shd w:val="clear" w:color="auto" w:fill="C9E5F0" w:themeFill="accent1" w:themeFillTint="40"/>
      </w:tcPr>
    </w:tblStylePr>
    <w:tblStylePr w:type="band1Horz">
      <w:rPr>
        <w:rFonts w:ascii="Arial" w:hAnsi="Arial"/>
        <w:color w:val="1E566C" w:themeColor="accent1" w:themeShade="95"/>
        <w:sz w:val="22"/>
      </w:rPr>
      <w:tblPr/>
      <w:tcPr>
        <w:shd w:val="clear" w:color="auto" w:fill="C9E5F0" w:themeFill="accent1" w:themeFillTint="40"/>
      </w:tcPr>
    </w:tblStylePr>
    <w:tblStylePr w:type="band2Horz">
      <w:rPr>
        <w:rFonts w:ascii="Arial" w:hAnsi="Arial"/>
        <w:color w:val="1E566C"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9CD3D9" w:themeColor="accent2" w:themeTint="97"/>
      </w:tblBorders>
    </w:tblPr>
    <w:tblStylePr w:type="firstRow">
      <w:rPr>
        <w:rFonts w:ascii="Arial" w:hAnsi="Arial"/>
        <w:i/>
        <w:color w:val="9CD3D9" w:themeColor="accent2" w:themeTint="97" w:themeShade="95"/>
        <w:sz w:val="22"/>
      </w:rPr>
      <w:tblPr/>
      <w:tcPr>
        <w:tcBorders>
          <w:top w:val="none" w:sz="0" w:space="0" w:color="auto"/>
          <w:left w:val="none" w:sz="0" w:space="0" w:color="auto"/>
          <w:bottom w:val="single" w:sz="4" w:space="0" w:color="9CD3D9" w:themeColor="accent2" w:themeTint="97"/>
          <w:right w:val="none" w:sz="0" w:space="0" w:color="auto"/>
        </w:tcBorders>
        <w:shd w:val="clear" w:color="auto" w:fill="FFFFFF" w:themeFill="light1"/>
      </w:tcPr>
    </w:tblStylePr>
    <w:tblStylePr w:type="lastRow">
      <w:rPr>
        <w:rFonts w:ascii="Arial" w:hAnsi="Arial"/>
        <w:i/>
        <w:color w:val="9CD3D9" w:themeColor="accent2" w:themeTint="97" w:themeShade="95"/>
        <w:sz w:val="22"/>
      </w:rPr>
      <w:tblPr/>
      <w:tcPr>
        <w:tcBorders>
          <w:top w:val="single" w:sz="4" w:space="0" w:color="9CD3D9"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CD3D9" w:themeColor="accent2" w:themeTint="97" w:themeShade="95"/>
        <w:sz w:val="22"/>
      </w:rPr>
      <w:tblPr/>
      <w:tcPr>
        <w:tcBorders>
          <w:top w:val="none" w:sz="0" w:space="0" w:color="auto"/>
          <w:left w:val="none" w:sz="0" w:space="0" w:color="auto"/>
          <w:bottom w:val="none" w:sz="0" w:space="0" w:color="auto"/>
          <w:right w:val="single" w:sz="4" w:space="0" w:color="9CD3D9" w:themeColor="accent2" w:themeTint="97"/>
        </w:tcBorders>
        <w:shd w:val="clear" w:color="auto" w:fill="FFFFFF"/>
      </w:tcPr>
    </w:tblStylePr>
    <w:tblStylePr w:type="lastCol">
      <w:rPr>
        <w:rFonts w:ascii="Arial" w:hAnsi="Arial"/>
        <w:i/>
        <w:color w:val="9CD3D9" w:themeColor="accent2" w:themeTint="97" w:themeShade="95"/>
        <w:sz w:val="22"/>
      </w:rPr>
      <w:tblPr/>
      <w:tcPr>
        <w:tcBorders>
          <w:top w:val="none" w:sz="0" w:space="0" w:color="auto"/>
          <w:left w:val="single" w:sz="4" w:space="0" w:color="9CD3D9" w:themeColor="accent2" w:themeTint="97"/>
          <w:bottom w:val="none" w:sz="0" w:space="0" w:color="auto"/>
          <w:right w:val="none" w:sz="0" w:space="0" w:color="auto"/>
        </w:tcBorders>
        <w:shd w:val="clear" w:color="auto" w:fill="FFFFFF"/>
      </w:tcPr>
    </w:tblStylePr>
    <w:tblStylePr w:type="band1Vert">
      <w:tblPr/>
      <w:tcPr>
        <w:shd w:val="clear" w:color="auto" w:fill="D4ECEF" w:themeFill="accent2" w:themeFillTint="40"/>
      </w:tcPr>
    </w:tblStylePr>
    <w:tblStylePr w:type="band1Horz">
      <w:rPr>
        <w:rFonts w:ascii="Arial" w:hAnsi="Arial"/>
        <w:color w:val="9CD3D9" w:themeColor="accent2" w:themeTint="97" w:themeShade="95"/>
        <w:sz w:val="22"/>
      </w:rPr>
      <w:tblPr/>
      <w:tcPr>
        <w:shd w:val="clear" w:color="auto" w:fill="D4ECEF" w:themeFill="accent2" w:themeFillTint="40"/>
      </w:tcPr>
    </w:tblStylePr>
    <w:tblStylePr w:type="band2Horz">
      <w:rPr>
        <w:rFonts w:ascii="Arial" w:hAnsi="Arial"/>
        <w:color w:val="9CD3D9"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ACD7CA" w:themeColor="accent3" w:themeTint="98"/>
      </w:tblBorders>
    </w:tblPr>
    <w:tblStylePr w:type="firstRow">
      <w:rPr>
        <w:rFonts w:ascii="Arial" w:hAnsi="Arial"/>
        <w:i/>
        <w:color w:val="ACD7CA" w:themeColor="accent3" w:themeTint="98" w:themeShade="95"/>
        <w:sz w:val="22"/>
      </w:rPr>
      <w:tblPr/>
      <w:tcPr>
        <w:tcBorders>
          <w:top w:val="none" w:sz="0" w:space="0" w:color="auto"/>
          <w:left w:val="none" w:sz="0" w:space="0" w:color="auto"/>
          <w:bottom w:val="single" w:sz="4" w:space="0" w:color="ACD7CA" w:themeColor="accent3" w:themeTint="98"/>
          <w:right w:val="none" w:sz="0" w:space="0" w:color="auto"/>
        </w:tcBorders>
        <w:shd w:val="clear" w:color="auto" w:fill="FFFFFF" w:themeFill="light1"/>
      </w:tcPr>
    </w:tblStylePr>
    <w:tblStylePr w:type="lastRow">
      <w:rPr>
        <w:rFonts w:ascii="Arial" w:hAnsi="Arial"/>
        <w:i/>
        <w:color w:val="ACD7CA" w:themeColor="accent3" w:themeTint="98" w:themeShade="95"/>
        <w:sz w:val="22"/>
      </w:rPr>
      <w:tblPr/>
      <w:tcPr>
        <w:tcBorders>
          <w:top w:val="single" w:sz="4" w:space="0" w:color="ACD7CA"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D7CA" w:themeColor="accent3" w:themeTint="98" w:themeShade="95"/>
        <w:sz w:val="22"/>
      </w:rPr>
      <w:tblPr/>
      <w:tcPr>
        <w:tcBorders>
          <w:top w:val="none" w:sz="0" w:space="0" w:color="auto"/>
          <w:left w:val="none" w:sz="0" w:space="0" w:color="auto"/>
          <w:bottom w:val="none" w:sz="0" w:space="0" w:color="auto"/>
          <w:right w:val="single" w:sz="4" w:space="0" w:color="ACD7CA" w:themeColor="accent3" w:themeTint="98"/>
        </w:tcBorders>
        <w:shd w:val="clear" w:color="auto" w:fill="FFFFFF"/>
      </w:tcPr>
    </w:tblStylePr>
    <w:tblStylePr w:type="lastCol">
      <w:rPr>
        <w:rFonts w:ascii="Arial" w:hAnsi="Arial"/>
        <w:i/>
        <w:color w:val="ACD7CA" w:themeColor="accent3" w:themeTint="98" w:themeShade="95"/>
        <w:sz w:val="22"/>
      </w:rPr>
      <w:tblPr/>
      <w:tcPr>
        <w:tcBorders>
          <w:top w:val="none" w:sz="0" w:space="0" w:color="auto"/>
          <w:left w:val="single" w:sz="4" w:space="0" w:color="ACD7CA" w:themeColor="accent3" w:themeTint="98"/>
          <w:bottom w:val="none" w:sz="0" w:space="0" w:color="auto"/>
          <w:right w:val="none" w:sz="0" w:space="0" w:color="auto"/>
        </w:tcBorders>
        <w:shd w:val="clear" w:color="auto" w:fill="FFFFFF"/>
      </w:tcPr>
    </w:tblStylePr>
    <w:tblStylePr w:type="band1Vert">
      <w:tblPr/>
      <w:tcPr>
        <w:shd w:val="clear" w:color="auto" w:fill="DCEEE8" w:themeFill="accent3" w:themeFillTint="40"/>
      </w:tcPr>
    </w:tblStylePr>
    <w:tblStylePr w:type="band1Horz">
      <w:rPr>
        <w:rFonts w:ascii="Arial" w:hAnsi="Arial"/>
        <w:color w:val="ACD7CA" w:themeColor="accent3" w:themeTint="98" w:themeShade="95"/>
        <w:sz w:val="22"/>
      </w:rPr>
      <w:tblPr/>
      <w:tcPr>
        <w:shd w:val="clear" w:color="auto" w:fill="DCEEE8" w:themeFill="accent3" w:themeFillTint="40"/>
      </w:tcPr>
    </w:tblStylePr>
    <w:tblStylePr w:type="band2Horz">
      <w:rPr>
        <w:rFonts w:ascii="Arial" w:hAnsi="Arial"/>
        <w:color w:val="ACD7CA"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AEB9BA" w:themeColor="accent4" w:themeTint="9A"/>
      </w:tblBorders>
    </w:tblPr>
    <w:tblStylePr w:type="firstRow">
      <w:rPr>
        <w:rFonts w:ascii="Arial" w:hAnsi="Arial"/>
        <w:i/>
        <w:color w:val="AEB9BA" w:themeColor="accent4" w:themeTint="9A" w:themeShade="95"/>
        <w:sz w:val="22"/>
      </w:rPr>
      <w:tblPr/>
      <w:tcPr>
        <w:tcBorders>
          <w:top w:val="none" w:sz="0" w:space="0" w:color="auto"/>
          <w:left w:val="none" w:sz="0" w:space="0" w:color="auto"/>
          <w:bottom w:val="single" w:sz="4" w:space="0" w:color="AEB9BA" w:themeColor="accent4" w:themeTint="9A"/>
          <w:right w:val="none" w:sz="0" w:space="0" w:color="auto"/>
        </w:tcBorders>
        <w:shd w:val="clear" w:color="auto" w:fill="FFFFFF" w:themeFill="light1"/>
      </w:tcPr>
    </w:tblStylePr>
    <w:tblStylePr w:type="lastRow">
      <w:rPr>
        <w:rFonts w:ascii="Arial" w:hAnsi="Arial"/>
        <w:i/>
        <w:color w:val="AEB9BA" w:themeColor="accent4" w:themeTint="9A" w:themeShade="95"/>
        <w:sz w:val="22"/>
      </w:rPr>
      <w:tblPr/>
      <w:tcPr>
        <w:tcBorders>
          <w:top w:val="single" w:sz="4" w:space="0" w:color="AEB9BA"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EB9BA" w:themeColor="accent4" w:themeTint="9A" w:themeShade="95"/>
        <w:sz w:val="22"/>
      </w:rPr>
      <w:tblPr/>
      <w:tcPr>
        <w:tcBorders>
          <w:top w:val="none" w:sz="0" w:space="0" w:color="auto"/>
          <w:left w:val="none" w:sz="0" w:space="0" w:color="auto"/>
          <w:bottom w:val="none" w:sz="0" w:space="0" w:color="auto"/>
          <w:right w:val="single" w:sz="4" w:space="0" w:color="AEB9BA" w:themeColor="accent4" w:themeTint="9A"/>
        </w:tcBorders>
        <w:shd w:val="clear" w:color="auto" w:fill="FFFFFF"/>
      </w:tcPr>
    </w:tblStylePr>
    <w:tblStylePr w:type="lastCol">
      <w:rPr>
        <w:rFonts w:ascii="Arial" w:hAnsi="Arial"/>
        <w:i/>
        <w:color w:val="AEB9BA" w:themeColor="accent4" w:themeTint="9A" w:themeShade="95"/>
        <w:sz w:val="22"/>
      </w:rPr>
      <w:tblPr/>
      <w:tcPr>
        <w:tcBorders>
          <w:top w:val="none" w:sz="0" w:space="0" w:color="auto"/>
          <w:left w:val="single" w:sz="4" w:space="0" w:color="AEB9BA" w:themeColor="accent4" w:themeTint="9A"/>
          <w:bottom w:val="none" w:sz="0" w:space="0" w:color="auto"/>
          <w:right w:val="none" w:sz="0" w:space="0" w:color="auto"/>
        </w:tcBorders>
        <w:shd w:val="clear" w:color="auto" w:fill="FFFFFF"/>
      </w:tcPr>
    </w:tblStylePr>
    <w:tblStylePr w:type="band1Vert">
      <w:tblPr/>
      <w:tcPr>
        <w:shd w:val="clear" w:color="auto" w:fill="DDE2E2" w:themeFill="accent4" w:themeFillTint="40"/>
      </w:tcPr>
    </w:tblStylePr>
    <w:tblStylePr w:type="band1Horz">
      <w:rPr>
        <w:rFonts w:ascii="Arial" w:hAnsi="Arial"/>
        <w:color w:val="AEB9BA" w:themeColor="accent4" w:themeTint="9A" w:themeShade="95"/>
        <w:sz w:val="22"/>
      </w:rPr>
      <w:tblPr/>
      <w:tcPr>
        <w:shd w:val="clear" w:color="auto" w:fill="DDE2E2" w:themeFill="accent4" w:themeFillTint="40"/>
      </w:tcPr>
    </w:tblStylePr>
    <w:tblStylePr w:type="band2Horz">
      <w:rPr>
        <w:rFonts w:ascii="Arial" w:hAnsi="Arial"/>
        <w:color w:val="AEB9BA"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B4CCD2" w:themeColor="accent5" w:themeTint="9A"/>
      </w:tblBorders>
    </w:tblPr>
    <w:tblStylePr w:type="firstRow">
      <w:rPr>
        <w:rFonts w:ascii="Arial" w:hAnsi="Arial"/>
        <w:i/>
        <w:color w:val="B4CCD2" w:themeColor="accent5" w:themeTint="9A" w:themeShade="95"/>
        <w:sz w:val="22"/>
      </w:rPr>
      <w:tblPr/>
      <w:tcPr>
        <w:tcBorders>
          <w:top w:val="none" w:sz="0" w:space="0" w:color="auto"/>
          <w:left w:val="none" w:sz="0" w:space="0" w:color="auto"/>
          <w:bottom w:val="single" w:sz="4" w:space="0" w:color="B4CCD2" w:themeColor="accent5" w:themeTint="9A"/>
          <w:right w:val="none" w:sz="0" w:space="0" w:color="auto"/>
        </w:tcBorders>
        <w:shd w:val="clear" w:color="auto" w:fill="FFFFFF" w:themeFill="light1"/>
      </w:tcPr>
    </w:tblStylePr>
    <w:tblStylePr w:type="lastRow">
      <w:rPr>
        <w:rFonts w:ascii="Arial" w:hAnsi="Arial"/>
        <w:i/>
        <w:color w:val="B4CCD2" w:themeColor="accent5" w:themeTint="9A" w:themeShade="95"/>
        <w:sz w:val="22"/>
      </w:rPr>
      <w:tblPr/>
      <w:tcPr>
        <w:tcBorders>
          <w:top w:val="single" w:sz="4" w:space="0" w:color="B4CCD2"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4CCD2" w:themeColor="accent5" w:themeTint="9A" w:themeShade="95"/>
        <w:sz w:val="22"/>
      </w:rPr>
      <w:tblPr/>
      <w:tcPr>
        <w:tcBorders>
          <w:top w:val="none" w:sz="0" w:space="0" w:color="auto"/>
          <w:left w:val="none" w:sz="0" w:space="0" w:color="auto"/>
          <w:bottom w:val="none" w:sz="0" w:space="0" w:color="auto"/>
          <w:right w:val="single" w:sz="4" w:space="0" w:color="B4CCD2" w:themeColor="accent5" w:themeTint="9A"/>
        </w:tcBorders>
        <w:shd w:val="clear" w:color="auto" w:fill="FFFFFF"/>
      </w:tcPr>
    </w:tblStylePr>
    <w:tblStylePr w:type="lastCol">
      <w:rPr>
        <w:rFonts w:ascii="Arial" w:hAnsi="Arial"/>
        <w:i/>
        <w:color w:val="B4CCD2" w:themeColor="accent5" w:themeTint="9A" w:themeShade="95"/>
        <w:sz w:val="22"/>
      </w:rPr>
      <w:tblPr/>
      <w:tcPr>
        <w:tcBorders>
          <w:top w:val="none" w:sz="0" w:space="0" w:color="auto"/>
          <w:left w:val="single" w:sz="4" w:space="0" w:color="B4CCD2" w:themeColor="accent5" w:themeTint="9A"/>
          <w:bottom w:val="none" w:sz="0" w:space="0" w:color="auto"/>
          <w:right w:val="none" w:sz="0" w:space="0" w:color="auto"/>
        </w:tcBorders>
        <w:shd w:val="clear" w:color="auto" w:fill="FFFFFF"/>
      </w:tcPr>
    </w:tblStylePr>
    <w:tblStylePr w:type="band1Vert">
      <w:tblPr/>
      <w:tcPr>
        <w:shd w:val="clear" w:color="auto" w:fill="E0EAEC" w:themeFill="accent5" w:themeFillTint="40"/>
      </w:tcPr>
    </w:tblStylePr>
    <w:tblStylePr w:type="band1Horz">
      <w:rPr>
        <w:rFonts w:ascii="Arial" w:hAnsi="Arial"/>
        <w:color w:val="B4CCD2" w:themeColor="accent5" w:themeTint="9A" w:themeShade="95"/>
        <w:sz w:val="22"/>
      </w:rPr>
      <w:tblPr/>
      <w:tcPr>
        <w:shd w:val="clear" w:color="auto" w:fill="E0EAEC" w:themeFill="accent5" w:themeFillTint="40"/>
      </w:tcPr>
    </w:tblStylePr>
    <w:tblStylePr w:type="band2Horz">
      <w:rPr>
        <w:rFonts w:ascii="Arial" w:hAnsi="Arial"/>
        <w:color w:val="B4CCD2"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75B6E4" w:themeColor="accent6" w:themeTint="98"/>
      </w:tblBorders>
    </w:tblPr>
    <w:tblStylePr w:type="firstRow">
      <w:rPr>
        <w:rFonts w:ascii="Arial" w:hAnsi="Arial"/>
        <w:i/>
        <w:color w:val="75B6E4" w:themeColor="accent6" w:themeTint="98" w:themeShade="95"/>
        <w:sz w:val="22"/>
      </w:rPr>
      <w:tblPr/>
      <w:tcPr>
        <w:tcBorders>
          <w:top w:val="none" w:sz="0" w:space="0" w:color="auto"/>
          <w:left w:val="none" w:sz="0" w:space="0" w:color="auto"/>
          <w:bottom w:val="single" w:sz="4" w:space="0" w:color="75B6E4" w:themeColor="accent6" w:themeTint="98"/>
          <w:right w:val="none" w:sz="0" w:space="0" w:color="auto"/>
        </w:tcBorders>
        <w:shd w:val="clear" w:color="auto" w:fill="FFFFFF" w:themeFill="light1"/>
      </w:tcPr>
    </w:tblStylePr>
    <w:tblStylePr w:type="lastRow">
      <w:rPr>
        <w:rFonts w:ascii="Arial" w:hAnsi="Arial"/>
        <w:i/>
        <w:color w:val="75B6E4" w:themeColor="accent6" w:themeTint="98" w:themeShade="95"/>
        <w:sz w:val="22"/>
      </w:rPr>
      <w:tblPr/>
      <w:tcPr>
        <w:tcBorders>
          <w:top w:val="single" w:sz="4" w:space="0" w:color="75B6E4"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5B6E4" w:themeColor="accent6" w:themeTint="98" w:themeShade="95"/>
        <w:sz w:val="22"/>
      </w:rPr>
      <w:tblPr/>
      <w:tcPr>
        <w:tcBorders>
          <w:top w:val="none" w:sz="0" w:space="0" w:color="auto"/>
          <w:left w:val="none" w:sz="0" w:space="0" w:color="auto"/>
          <w:bottom w:val="none" w:sz="0" w:space="0" w:color="auto"/>
          <w:right w:val="single" w:sz="4" w:space="0" w:color="75B6E4" w:themeColor="accent6" w:themeTint="98"/>
        </w:tcBorders>
        <w:shd w:val="clear" w:color="auto" w:fill="FFFFFF"/>
      </w:tcPr>
    </w:tblStylePr>
    <w:tblStylePr w:type="lastCol">
      <w:rPr>
        <w:rFonts w:ascii="Arial" w:hAnsi="Arial"/>
        <w:i/>
        <w:color w:val="75B6E4" w:themeColor="accent6" w:themeTint="98" w:themeShade="95"/>
        <w:sz w:val="22"/>
      </w:rPr>
      <w:tblPr/>
      <w:tcPr>
        <w:tcBorders>
          <w:top w:val="none" w:sz="0" w:space="0" w:color="auto"/>
          <w:left w:val="single" w:sz="4" w:space="0" w:color="75B6E4" w:themeColor="accent6" w:themeTint="98"/>
          <w:bottom w:val="none" w:sz="0" w:space="0" w:color="auto"/>
          <w:right w:val="none" w:sz="0" w:space="0" w:color="auto"/>
        </w:tcBorders>
        <w:shd w:val="clear" w:color="auto" w:fill="FFFFFF"/>
      </w:tcPr>
    </w:tblStylePr>
    <w:tblStylePr w:type="band1Vert">
      <w:tblPr/>
      <w:tcPr>
        <w:shd w:val="clear" w:color="auto" w:fill="C5E0F4" w:themeFill="accent6" w:themeFillTint="40"/>
      </w:tcPr>
    </w:tblStylePr>
    <w:tblStylePr w:type="band1Horz">
      <w:rPr>
        <w:rFonts w:ascii="Arial" w:hAnsi="Arial"/>
        <w:color w:val="75B6E4" w:themeColor="accent6" w:themeTint="98" w:themeShade="95"/>
        <w:sz w:val="22"/>
      </w:rPr>
      <w:tblPr/>
      <w:tcPr>
        <w:shd w:val="clear" w:color="auto" w:fill="C5E0F4" w:themeFill="accent6" w:themeFillTint="40"/>
      </w:tcPr>
    </w:tblStylePr>
    <w:tblStylePr w:type="band2Horz">
      <w:rPr>
        <w:rFonts w:ascii="Arial" w:hAnsi="Arial"/>
        <w:color w:val="75B6E4" w:themeColor="accent6" w:themeTint="98" w:themeShade="95"/>
        <w:sz w:val="22"/>
      </w:rPr>
    </w:tblStylePr>
  </w:style>
  <w:style w:type="table" w:customStyle="1" w:styleId="Lined-Accent">
    <w:name w:val="Lined - Accent"/>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3BA0C8" w:themeFill="accent1" w:themeFillTint="EA"/>
      </w:tcPr>
    </w:tblStylePr>
    <w:tblStylePr w:type="lastRow">
      <w:rPr>
        <w:rFonts w:ascii="Arial" w:hAnsi="Arial"/>
        <w:color w:val="F2F2F2"/>
        <w:sz w:val="22"/>
      </w:rPr>
      <w:tblPr/>
      <w:tcPr>
        <w:shd w:val="clear" w:color="auto" w:fill="3BA0C8" w:themeFill="accent1" w:themeFillTint="EA"/>
      </w:tcPr>
    </w:tblStylePr>
    <w:tblStylePr w:type="firstCol">
      <w:rPr>
        <w:rFonts w:ascii="Arial" w:hAnsi="Arial"/>
        <w:color w:val="F2F2F2"/>
        <w:sz w:val="22"/>
      </w:rPr>
      <w:tblPr/>
      <w:tcPr>
        <w:shd w:val="clear" w:color="auto" w:fill="3BA0C8" w:themeFill="accent1" w:themeFillTint="EA"/>
      </w:tcPr>
    </w:tblStylePr>
    <w:tblStylePr w:type="lastCol">
      <w:rPr>
        <w:rFonts w:ascii="Arial" w:hAnsi="Arial"/>
        <w:color w:val="F2F2F2"/>
        <w:sz w:val="22"/>
      </w:rPr>
      <w:tblPr/>
      <w:tcPr>
        <w:shd w:val="clear" w:color="auto" w:fill="3BA0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BCDE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BCDEEC" w:themeFill="accent1" w:themeFillTint="50"/>
      </w:tcPr>
    </w:tblStylePr>
  </w:style>
  <w:style w:type="table" w:customStyle="1" w:styleId="Lined-Accent2">
    <w:name w:val="Lined - Accent 2"/>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9CD3D9" w:themeFill="accent2" w:themeFillTint="97"/>
      </w:tcPr>
    </w:tblStylePr>
    <w:tblStylePr w:type="lastRow">
      <w:rPr>
        <w:rFonts w:ascii="Arial" w:hAnsi="Arial"/>
        <w:color w:val="F2F2F2"/>
        <w:sz w:val="22"/>
      </w:rPr>
      <w:tblPr/>
      <w:tcPr>
        <w:shd w:val="clear" w:color="auto" w:fill="9CD3D9" w:themeFill="accent2" w:themeFillTint="97"/>
      </w:tcPr>
    </w:tblStylePr>
    <w:tblStylePr w:type="firstCol">
      <w:rPr>
        <w:rFonts w:ascii="Arial" w:hAnsi="Arial"/>
        <w:color w:val="F2F2F2"/>
        <w:sz w:val="22"/>
      </w:rPr>
      <w:tblPr/>
      <w:tcPr>
        <w:shd w:val="clear" w:color="auto" w:fill="9CD3D9" w:themeFill="accent2" w:themeFillTint="97"/>
      </w:tcPr>
    </w:tblStylePr>
    <w:tblStylePr w:type="lastCol">
      <w:rPr>
        <w:rFonts w:ascii="Arial" w:hAnsi="Arial"/>
        <w:color w:val="F2F2F2"/>
        <w:sz w:val="22"/>
      </w:rPr>
      <w:tblPr/>
      <w:tcPr>
        <w:shd w:val="clear" w:color="auto" w:fill="9CD3D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EF0F2" w:themeFill="accent2" w:themeFillTint="32"/>
      </w:tcPr>
    </w:tblStylePr>
  </w:style>
  <w:style w:type="table" w:customStyle="1" w:styleId="Lined-Accent3">
    <w:name w:val="Lined - Accent 3"/>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5BDA7" w:themeFill="accent3" w:themeFillTint="FE"/>
      </w:tcPr>
    </w:tblStylePr>
    <w:tblStylePr w:type="lastRow">
      <w:rPr>
        <w:rFonts w:ascii="Arial" w:hAnsi="Arial"/>
        <w:color w:val="F2F2F2"/>
        <w:sz w:val="22"/>
      </w:rPr>
      <w:tblPr/>
      <w:tcPr>
        <w:shd w:val="clear" w:color="auto" w:fill="75BDA7" w:themeFill="accent3" w:themeFillTint="FE"/>
      </w:tcPr>
    </w:tblStylePr>
    <w:tblStylePr w:type="firstCol">
      <w:rPr>
        <w:rFonts w:ascii="Arial" w:hAnsi="Arial"/>
        <w:color w:val="F2F2F2"/>
        <w:sz w:val="22"/>
      </w:rPr>
      <w:tblPr/>
      <w:tcPr>
        <w:shd w:val="clear" w:color="auto" w:fill="75BDA7" w:themeFill="accent3" w:themeFillTint="FE"/>
      </w:tcPr>
    </w:tblStylePr>
    <w:tblStylePr w:type="lastCol">
      <w:rPr>
        <w:rFonts w:ascii="Arial" w:hAnsi="Arial"/>
        <w:color w:val="F2F2F2"/>
        <w:sz w:val="22"/>
      </w:rPr>
      <w:tblPr/>
      <w:tcPr>
        <w:shd w:val="clear" w:color="auto" w:fill="75BDA7"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2F1ED" w:themeFill="accent3" w:themeFillTint="34"/>
      </w:tcPr>
    </w:tblStylePr>
  </w:style>
  <w:style w:type="table" w:customStyle="1" w:styleId="Lined-Accent4">
    <w:name w:val="Lined - Accent 4"/>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AEB9BA" w:themeFill="accent4" w:themeFillTint="9A"/>
      </w:tcPr>
    </w:tblStylePr>
    <w:tblStylePr w:type="lastRow">
      <w:rPr>
        <w:rFonts w:ascii="Arial" w:hAnsi="Arial"/>
        <w:color w:val="F2F2F2"/>
        <w:sz w:val="22"/>
      </w:rPr>
      <w:tblPr/>
      <w:tcPr>
        <w:shd w:val="clear" w:color="auto" w:fill="AEB9BA" w:themeFill="accent4" w:themeFillTint="9A"/>
      </w:tcPr>
    </w:tblStylePr>
    <w:tblStylePr w:type="firstCol">
      <w:rPr>
        <w:rFonts w:ascii="Arial" w:hAnsi="Arial"/>
        <w:color w:val="F2F2F2"/>
        <w:sz w:val="22"/>
      </w:rPr>
      <w:tblPr/>
      <w:tcPr>
        <w:shd w:val="clear" w:color="auto" w:fill="AEB9BA" w:themeFill="accent4" w:themeFillTint="9A"/>
      </w:tcPr>
    </w:tblStylePr>
    <w:tblStylePr w:type="lastCol">
      <w:rPr>
        <w:rFonts w:ascii="Arial" w:hAnsi="Arial"/>
        <w:color w:val="F2F2F2"/>
        <w:sz w:val="22"/>
      </w:rPr>
      <w:tblPr/>
      <w:tcPr>
        <w:shd w:val="clear" w:color="auto" w:fill="AEB9BA"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3E7E8" w:themeFill="accent4" w:themeFillTint="34"/>
      </w:tcPr>
    </w:tblStylePr>
  </w:style>
  <w:style w:type="table" w:customStyle="1" w:styleId="Lined-Accent5">
    <w:name w:val="Lined - Accent 5"/>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84ACB6" w:themeFill="accent5"/>
      </w:tcPr>
    </w:tblStylePr>
    <w:tblStylePr w:type="lastRow">
      <w:rPr>
        <w:rFonts w:ascii="Arial" w:hAnsi="Arial"/>
        <w:color w:val="F2F2F2"/>
        <w:sz w:val="22"/>
      </w:rPr>
      <w:tblPr/>
      <w:tcPr>
        <w:shd w:val="clear" w:color="auto" w:fill="84ACB6" w:themeFill="accent5"/>
      </w:tcPr>
    </w:tblStylePr>
    <w:tblStylePr w:type="firstCol">
      <w:rPr>
        <w:rFonts w:ascii="Arial" w:hAnsi="Arial"/>
        <w:color w:val="F2F2F2"/>
        <w:sz w:val="22"/>
      </w:rPr>
      <w:tblPr/>
      <w:tcPr>
        <w:shd w:val="clear" w:color="auto" w:fill="84ACB6" w:themeFill="accent5"/>
      </w:tcPr>
    </w:tblStylePr>
    <w:tblStylePr w:type="lastCol">
      <w:rPr>
        <w:rFonts w:ascii="Arial" w:hAnsi="Arial"/>
        <w:color w:val="F2F2F2"/>
        <w:sz w:val="22"/>
      </w:rPr>
      <w:tblPr/>
      <w:tcPr>
        <w:shd w:val="clear" w:color="auto" w:fill="84ACB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EEF0" w:themeFill="accent5" w:themeFillTint="34"/>
      </w:tcPr>
    </w:tblStylePr>
  </w:style>
  <w:style w:type="table" w:customStyle="1" w:styleId="Lined-Accent6">
    <w:name w:val="Lined - Accent 6"/>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2683C6" w:themeFill="accent6"/>
      </w:tcPr>
    </w:tblStylePr>
    <w:tblStylePr w:type="lastRow">
      <w:rPr>
        <w:rFonts w:ascii="Arial" w:hAnsi="Arial"/>
        <w:color w:val="F2F2F2"/>
        <w:sz w:val="22"/>
      </w:rPr>
      <w:tblPr/>
      <w:tcPr>
        <w:shd w:val="clear" w:color="auto" w:fill="2683C6" w:themeFill="accent6"/>
      </w:tcPr>
    </w:tblStylePr>
    <w:tblStylePr w:type="firstCol">
      <w:rPr>
        <w:rFonts w:ascii="Arial" w:hAnsi="Arial"/>
        <w:color w:val="F2F2F2"/>
        <w:sz w:val="22"/>
      </w:rPr>
      <w:tblPr/>
      <w:tcPr>
        <w:shd w:val="clear" w:color="auto" w:fill="2683C6" w:themeFill="accent6"/>
      </w:tcPr>
    </w:tblStylePr>
    <w:tblStylePr w:type="lastCol">
      <w:rPr>
        <w:rFonts w:ascii="Arial" w:hAnsi="Arial"/>
        <w:color w:val="F2F2F2"/>
        <w:sz w:val="22"/>
      </w:rPr>
      <w:tblPr/>
      <w:tcPr>
        <w:shd w:val="clear" w:color="auto" w:fill="2683C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0E6F6" w:themeFill="accent6" w:themeFillTint="34"/>
      </w:tcPr>
    </w:tblStylePr>
  </w:style>
  <w:style w:type="table" w:customStyle="1" w:styleId="BorderedLined-Accent">
    <w:name w:val="Bordered &amp; Lined - Accent"/>
    <w:basedOn w:val="TableNormal"/>
    <w:uiPriority w:val="99"/>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US"/>
    </w:rPr>
    <w:tblPr>
      <w:tblStyleRowBandSize w:val="1"/>
      <w:tblStyleColBandSize w:val="1"/>
      <w:tblBorders>
        <w:top w:val="single" w:sz="4" w:space="0" w:color="1E566C" w:themeColor="accent1" w:themeShade="95"/>
        <w:left w:val="single" w:sz="4" w:space="0" w:color="1E566C" w:themeColor="accent1" w:themeShade="95"/>
        <w:bottom w:val="single" w:sz="4" w:space="0" w:color="1E566C" w:themeColor="accent1" w:themeShade="95"/>
        <w:right w:val="single" w:sz="4" w:space="0" w:color="1E566C" w:themeColor="accent1" w:themeShade="95"/>
        <w:insideH w:val="single" w:sz="4" w:space="0" w:color="1E566C" w:themeColor="accent1" w:themeShade="95"/>
        <w:insideV w:val="single" w:sz="4" w:space="0" w:color="1E566C" w:themeColor="accent1" w:themeShade="95"/>
      </w:tblBorders>
    </w:tblPr>
    <w:tblStylePr w:type="firstRow">
      <w:rPr>
        <w:rFonts w:ascii="Arial" w:hAnsi="Arial"/>
        <w:color w:val="F2F2F2"/>
        <w:sz w:val="22"/>
      </w:rPr>
      <w:tblPr/>
      <w:tcPr>
        <w:shd w:val="clear" w:color="auto" w:fill="3BA0C8" w:themeFill="accent1" w:themeFillTint="EA"/>
      </w:tcPr>
    </w:tblStylePr>
    <w:tblStylePr w:type="lastRow">
      <w:rPr>
        <w:rFonts w:ascii="Arial" w:hAnsi="Arial"/>
        <w:color w:val="F2F2F2"/>
        <w:sz w:val="22"/>
      </w:rPr>
      <w:tblPr/>
      <w:tcPr>
        <w:shd w:val="clear" w:color="auto" w:fill="3BA0C8" w:themeFill="accent1" w:themeFillTint="EA"/>
      </w:tcPr>
    </w:tblStylePr>
    <w:tblStylePr w:type="firstCol">
      <w:rPr>
        <w:rFonts w:ascii="Arial" w:hAnsi="Arial"/>
        <w:color w:val="F2F2F2"/>
        <w:sz w:val="22"/>
      </w:rPr>
      <w:tblPr/>
      <w:tcPr>
        <w:shd w:val="clear" w:color="auto" w:fill="3BA0C8" w:themeFill="accent1" w:themeFillTint="EA"/>
      </w:tcPr>
    </w:tblStylePr>
    <w:tblStylePr w:type="lastCol">
      <w:rPr>
        <w:rFonts w:ascii="Arial" w:hAnsi="Arial"/>
        <w:color w:val="F2F2F2"/>
        <w:sz w:val="22"/>
      </w:rPr>
      <w:tblPr/>
      <w:tcPr>
        <w:shd w:val="clear" w:color="auto" w:fill="3BA0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BCDE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BCDEEC" w:themeFill="accent1" w:themeFillTint="50"/>
      </w:tcPr>
    </w:tblStylePr>
  </w:style>
  <w:style w:type="table" w:customStyle="1" w:styleId="BorderedLined-Accent2">
    <w:name w:val="Bordered &amp; Lined - Accent 2"/>
    <w:basedOn w:val="TableNormal"/>
    <w:uiPriority w:val="99"/>
    <w:rPr>
      <w:color w:val="404040"/>
      <w:sz w:val="20"/>
      <w:szCs w:val="20"/>
      <w:lang w:val="en-US"/>
    </w:rPr>
    <w:tblPr>
      <w:tblStyleRowBandSize w:val="1"/>
      <w:tblStyleColBandSize w:val="1"/>
      <w:tblBorders>
        <w:top w:val="single" w:sz="4" w:space="0" w:color="2C6F76" w:themeColor="accent2" w:themeShade="95"/>
        <w:left w:val="single" w:sz="4" w:space="0" w:color="2C6F76" w:themeColor="accent2" w:themeShade="95"/>
        <w:bottom w:val="single" w:sz="4" w:space="0" w:color="2C6F76" w:themeColor="accent2" w:themeShade="95"/>
        <w:right w:val="single" w:sz="4" w:space="0" w:color="2C6F76" w:themeColor="accent2" w:themeShade="95"/>
        <w:insideH w:val="single" w:sz="4" w:space="0" w:color="2C6F76" w:themeColor="accent2" w:themeShade="95"/>
        <w:insideV w:val="single" w:sz="4" w:space="0" w:color="2C6F76" w:themeColor="accent2" w:themeShade="95"/>
      </w:tblBorders>
    </w:tblPr>
    <w:tblStylePr w:type="firstRow">
      <w:rPr>
        <w:rFonts w:ascii="Arial" w:hAnsi="Arial"/>
        <w:color w:val="F2F2F2"/>
        <w:sz w:val="22"/>
      </w:rPr>
      <w:tblPr/>
      <w:tcPr>
        <w:shd w:val="clear" w:color="auto" w:fill="9CD3D9" w:themeFill="accent2" w:themeFillTint="97"/>
      </w:tcPr>
    </w:tblStylePr>
    <w:tblStylePr w:type="lastRow">
      <w:rPr>
        <w:rFonts w:ascii="Arial" w:hAnsi="Arial"/>
        <w:color w:val="F2F2F2"/>
        <w:sz w:val="22"/>
      </w:rPr>
      <w:tblPr/>
      <w:tcPr>
        <w:shd w:val="clear" w:color="auto" w:fill="9CD3D9" w:themeFill="accent2" w:themeFillTint="97"/>
      </w:tcPr>
    </w:tblStylePr>
    <w:tblStylePr w:type="firstCol">
      <w:rPr>
        <w:rFonts w:ascii="Arial" w:hAnsi="Arial"/>
        <w:color w:val="F2F2F2"/>
        <w:sz w:val="22"/>
      </w:rPr>
      <w:tblPr/>
      <w:tcPr>
        <w:shd w:val="clear" w:color="auto" w:fill="9CD3D9" w:themeFill="accent2" w:themeFillTint="97"/>
      </w:tcPr>
    </w:tblStylePr>
    <w:tblStylePr w:type="lastCol">
      <w:rPr>
        <w:rFonts w:ascii="Arial" w:hAnsi="Arial"/>
        <w:color w:val="F2F2F2"/>
        <w:sz w:val="22"/>
      </w:rPr>
      <w:tblPr/>
      <w:tcPr>
        <w:shd w:val="clear" w:color="auto" w:fill="9CD3D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EF0F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EF0F2" w:themeFill="accent2" w:themeFillTint="32"/>
      </w:tcPr>
    </w:tblStylePr>
  </w:style>
  <w:style w:type="table" w:customStyle="1" w:styleId="BorderedLined-Accent3">
    <w:name w:val="Bordered &amp; Lined - Accent 3"/>
    <w:basedOn w:val="TableNormal"/>
    <w:uiPriority w:val="99"/>
    <w:rPr>
      <w:color w:val="404040"/>
      <w:sz w:val="20"/>
      <w:szCs w:val="20"/>
      <w:lang w:val="en-US"/>
    </w:rPr>
    <w:tblPr>
      <w:tblStyleRowBandSize w:val="1"/>
      <w:tblStyleColBandSize w:val="1"/>
      <w:tblBorders>
        <w:top w:val="single" w:sz="4" w:space="0" w:color="397865" w:themeColor="accent3" w:themeShade="95"/>
        <w:left w:val="single" w:sz="4" w:space="0" w:color="397865" w:themeColor="accent3" w:themeShade="95"/>
        <w:bottom w:val="single" w:sz="4" w:space="0" w:color="397865" w:themeColor="accent3" w:themeShade="95"/>
        <w:right w:val="single" w:sz="4" w:space="0" w:color="397865" w:themeColor="accent3" w:themeShade="95"/>
        <w:insideH w:val="single" w:sz="4" w:space="0" w:color="397865" w:themeColor="accent3" w:themeShade="95"/>
        <w:insideV w:val="single" w:sz="4" w:space="0" w:color="397865" w:themeColor="accent3" w:themeShade="95"/>
      </w:tblBorders>
    </w:tblPr>
    <w:tblStylePr w:type="firstRow">
      <w:rPr>
        <w:rFonts w:ascii="Arial" w:hAnsi="Arial"/>
        <w:color w:val="F2F2F2"/>
        <w:sz w:val="22"/>
      </w:rPr>
      <w:tblPr/>
      <w:tcPr>
        <w:shd w:val="clear" w:color="auto" w:fill="75BDA7" w:themeFill="accent3" w:themeFillTint="FE"/>
      </w:tcPr>
    </w:tblStylePr>
    <w:tblStylePr w:type="lastRow">
      <w:rPr>
        <w:rFonts w:ascii="Arial" w:hAnsi="Arial"/>
        <w:color w:val="F2F2F2"/>
        <w:sz w:val="22"/>
      </w:rPr>
      <w:tblPr/>
      <w:tcPr>
        <w:shd w:val="clear" w:color="auto" w:fill="75BDA7" w:themeFill="accent3" w:themeFillTint="FE"/>
      </w:tcPr>
    </w:tblStylePr>
    <w:tblStylePr w:type="firstCol">
      <w:rPr>
        <w:rFonts w:ascii="Arial" w:hAnsi="Arial"/>
        <w:color w:val="F2F2F2"/>
        <w:sz w:val="22"/>
      </w:rPr>
      <w:tblPr/>
      <w:tcPr>
        <w:shd w:val="clear" w:color="auto" w:fill="75BDA7" w:themeFill="accent3" w:themeFillTint="FE"/>
      </w:tcPr>
    </w:tblStylePr>
    <w:tblStylePr w:type="lastCol">
      <w:rPr>
        <w:rFonts w:ascii="Arial" w:hAnsi="Arial"/>
        <w:color w:val="F2F2F2"/>
        <w:sz w:val="22"/>
      </w:rPr>
      <w:tblPr/>
      <w:tcPr>
        <w:shd w:val="clear" w:color="auto" w:fill="75BDA7"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2F1ED"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2F1ED" w:themeFill="accent3" w:themeFillTint="34"/>
      </w:tcPr>
    </w:tblStylePr>
  </w:style>
  <w:style w:type="table" w:customStyle="1" w:styleId="BorderedLined-Accent4">
    <w:name w:val="Bordered &amp; Lined - Accent 4"/>
    <w:basedOn w:val="TableNormal"/>
    <w:uiPriority w:val="99"/>
    <w:rPr>
      <w:color w:val="404040"/>
      <w:sz w:val="20"/>
      <w:szCs w:val="20"/>
      <w:lang w:val="en-US"/>
    </w:rPr>
    <w:tblPr>
      <w:tblStyleRowBandSize w:val="1"/>
      <w:tblStyleColBandSize w:val="1"/>
      <w:tblBorders>
        <w:top w:val="single" w:sz="4" w:space="0" w:color="465153" w:themeColor="accent4" w:themeShade="95"/>
        <w:left w:val="single" w:sz="4" w:space="0" w:color="465153" w:themeColor="accent4" w:themeShade="95"/>
        <w:bottom w:val="single" w:sz="4" w:space="0" w:color="465153" w:themeColor="accent4" w:themeShade="95"/>
        <w:right w:val="single" w:sz="4" w:space="0" w:color="465153" w:themeColor="accent4" w:themeShade="95"/>
        <w:insideH w:val="single" w:sz="4" w:space="0" w:color="465153" w:themeColor="accent4" w:themeShade="95"/>
        <w:insideV w:val="single" w:sz="4" w:space="0" w:color="465153" w:themeColor="accent4" w:themeShade="95"/>
      </w:tblBorders>
    </w:tblPr>
    <w:tblStylePr w:type="firstRow">
      <w:rPr>
        <w:rFonts w:ascii="Arial" w:hAnsi="Arial"/>
        <w:color w:val="F2F2F2"/>
        <w:sz w:val="22"/>
      </w:rPr>
      <w:tblPr/>
      <w:tcPr>
        <w:shd w:val="clear" w:color="auto" w:fill="AEB9BA" w:themeFill="accent4" w:themeFillTint="9A"/>
      </w:tcPr>
    </w:tblStylePr>
    <w:tblStylePr w:type="lastRow">
      <w:rPr>
        <w:rFonts w:ascii="Arial" w:hAnsi="Arial"/>
        <w:color w:val="F2F2F2"/>
        <w:sz w:val="22"/>
      </w:rPr>
      <w:tblPr/>
      <w:tcPr>
        <w:shd w:val="clear" w:color="auto" w:fill="AEB9BA" w:themeFill="accent4" w:themeFillTint="9A"/>
      </w:tcPr>
    </w:tblStylePr>
    <w:tblStylePr w:type="firstCol">
      <w:rPr>
        <w:rFonts w:ascii="Arial" w:hAnsi="Arial"/>
        <w:color w:val="F2F2F2"/>
        <w:sz w:val="22"/>
      </w:rPr>
      <w:tblPr/>
      <w:tcPr>
        <w:shd w:val="clear" w:color="auto" w:fill="AEB9BA" w:themeFill="accent4" w:themeFillTint="9A"/>
      </w:tcPr>
    </w:tblStylePr>
    <w:tblStylePr w:type="lastCol">
      <w:rPr>
        <w:rFonts w:ascii="Arial" w:hAnsi="Arial"/>
        <w:color w:val="F2F2F2"/>
        <w:sz w:val="22"/>
      </w:rPr>
      <w:tblPr/>
      <w:tcPr>
        <w:shd w:val="clear" w:color="auto" w:fill="AEB9BA"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3E7E8"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3E7E8" w:themeFill="accent4" w:themeFillTint="34"/>
      </w:tcPr>
    </w:tblStylePr>
  </w:style>
  <w:style w:type="table" w:customStyle="1" w:styleId="BorderedLined-Accent5">
    <w:name w:val="Bordered &amp; Lined - Accent 5"/>
    <w:basedOn w:val="TableNormal"/>
    <w:uiPriority w:val="99"/>
    <w:rPr>
      <w:color w:val="404040"/>
      <w:sz w:val="20"/>
      <w:szCs w:val="20"/>
      <w:lang w:val="en-US"/>
    </w:rPr>
    <w:tblPr>
      <w:tblStyleRowBandSize w:val="1"/>
      <w:tblStyleColBandSize w:val="1"/>
      <w:tblBorders>
        <w:top w:val="single" w:sz="4" w:space="0" w:color="446973" w:themeColor="accent5" w:themeShade="95"/>
        <w:left w:val="single" w:sz="4" w:space="0" w:color="446973" w:themeColor="accent5" w:themeShade="95"/>
        <w:bottom w:val="single" w:sz="4" w:space="0" w:color="446973" w:themeColor="accent5" w:themeShade="95"/>
        <w:right w:val="single" w:sz="4" w:space="0" w:color="446973" w:themeColor="accent5" w:themeShade="95"/>
        <w:insideH w:val="single" w:sz="4" w:space="0" w:color="446973" w:themeColor="accent5" w:themeShade="95"/>
        <w:insideV w:val="single" w:sz="4" w:space="0" w:color="446973" w:themeColor="accent5" w:themeShade="95"/>
      </w:tblBorders>
    </w:tblPr>
    <w:tblStylePr w:type="firstRow">
      <w:rPr>
        <w:rFonts w:ascii="Arial" w:hAnsi="Arial"/>
        <w:color w:val="F2F2F2"/>
        <w:sz w:val="22"/>
      </w:rPr>
      <w:tblPr/>
      <w:tcPr>
        <w:shd w:val="clear" w:color="auto" w:fill="84ACB6" w:themeFill="accent5"/>
      </w:tcPr>
    </w:tblStylePr>
    <w:tblStylePr w:type="lastRow">
      <w:rPr>
        <w:rFonts w:ascii="Arial" w:hAnsi="Arial"/>
        <w:color w:val="F2F2F2"/>
        <w:sz w:val="22"/>
      </w:rPr>
      <w:tblPr/>
      <w:tcPr>
        <w:shd w:val="clear" w:color="auto" w:fill="84ACB6" w:themeFill="accent5"/>
      </w:tcPr>
    </w:tblStylePr>
    <w:tblStylePr w:type="firstCol">
      <w:rPr>
        <w:rFonts w:ascii="Arial" w:hAnsi="Arial"/>
        <w:color w:val="F2F2F2"/>
        <w:sz w:val="22"/>
      </w:rPr>
      <w:tblPr/>
      <w:tcPr>
        <w:shd w:val="clear" w:color="auto" w:fill="84ACB6" w:themeFill="accent5"/>
      </w:tcPr>
    </w:tblStylePr>
    <w:tblStylePr w:type="lastCol">
      <w:rPr>
        <w:rFonts w:ascii="Arial" w:hAnsi="Arial"/>
        <w:color w:val="F2F2F2"/>
        <w:sz w:val="22"/>
      </w:rPr>
      <w:tblPr/>
      <w:tcPr>
        <w:shd w:val="clear" w:color="auto" w:fill="84ACB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E5EEF0"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EEF0" w:themeFill="accent5" w:themeFillTint="34"/>
      </w:tcPr>
    </w:tblStylePr>
  </w:style>
  <w:style w:type="table" w:customStyle="1" w:styleId="BorderedLined-Accent6">
    <w:name w:val="Bordered &amp; Lined - Accent 6"/>
    <w:basedOn w:val="TableNormal"/>
    <w:uiPriority w:val="99"/>
    <w:rPr>
      <w:color w:val="404040"/>
      <w:sz w:val="20"/>
      <w:szCs w:val="20"/>
      <w:lang w:val="en-US"/>
    </w:rPr>
    <w:tblPr>
      <w:tblStyleRowBandSize w:val="1"/>
      <w:tblStyleColBandSize w:val="1"/>
      <w:tblBorders>
        <w:top w:val="single" w:sz="4" w:space="0" w:color="164C73" w:themeColor="accent6" w:themeShade="95"/>
        <w:left w:val="single" w:sz="4" w:space="0" w:color="164C73" w:themeColor="accent6" w:themeShade="95"/>
        <w:bottom w:val="single" w:sz="4" w:space="0" w:color="164C73" w:themeColor="accent6" w:themeShade="95"/>
        <w:right w:val="single" w:sz="4" w:space="0" w:color="164C73" w:themeColor="accent6" w:themeShade="95"/>
        <w:insideH w:val="single" w:sz="4" w:space="0" w:color="164C73" w:themeColor="accent6" w:themeShade="95"/>
        <w:insideV w:val="single" w:sz="4" w:space="0" w:color="164C73" w:themeColor="accent6" w:themeShade="95"/>
      </w:tblBorders>
    </w:tblPr>
    <w:tblStylePr w:type="firstRow">
      <w:rPr>
        <w:rFonts w:ascii="Arial" w:hAnsi="Arial"/>
        <w:color w:val="F2F2F2"/>
        <w:sz w:val="22"/>
      </w:rPr>
      <w:tblPr/>
      <w:tcPr>
        <w:shd w:val="clear" w:color="auto" w:fill="2683C6" w:themeFill="accent6"/>
      </w:tcPr>
    </w:tblStylePr>
    <w:tblStylePr w:type="lastRow">
      <w:rPr>
        <w:rFonts w:ascii="Arial" w:hAnsi="Arial"/>
        <w:color w:val="F2F2F2"/>
        <w:sz w:val="22"/>
      </w:rPr>
      <w:tblPr/>
      <w:tcPr>
        <w:shd w:val="clear" w:color="auto" w:fill="2683C6" w:themeFill="accent6"/>
      </w:tcPr>
    </w:tblStylePr>
    <w:tblStylePr w:type="firstCol">
      <w:rPr>
        <w:rFonts w:ascii="Arial" w:hAnsi="Arial"/>
        <w:color w:val="F2F2F2"/>
        <w:sz w:val="22"/>
      </w:rPr>
      <w:tblPr/>
      <w:tcPr>
        <w:shd w:val="clear" w:color="auto" w:fill="2683C6" w:themeFill="accent6"/>
      </w:tcPr>
    </w:tblStylePr>
    <w:tblStylePr w:type="lastCol">
      <w:rPr>
        <w:rFonts w:ascii="Arial" w:hAnsi="Arial"/>
        <w:color w:val="F2F2F2"/>
        <w:sz w:val="22"/>
      </w:rPr>
      <w:tblPr/>
      <w:tcPr>
        <w:shd w:val="clear" w:color="auto" w:fill="2683C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D0E6F6"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0E6F6"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insideH w:val="single" w:sz="4" w:space="0" w:color="A9D5E7" w:themeColor="accent1" w:themeTint="67"/>
        <w:insideV w:val="single" w:sz="4" w:space="0" w:color="A9D5E7" w:themeColor="accent1" w:themeTint="67"/>
      </w:tblBorders>
    </w:tblPr>
    <w:tblStylePr w:type="firstRow">
      <w:rPr>
        <w:rFonts w:ascii="Arial" w:hAnsi="Arial"/>
        <w:color w:val="404040"/>
        <w:sz w:val="22"/>
      </w:rPr>
      <w:tblPr/>
      <w:tcPr>
        <w:tcBorders>
          <w:bottom w:val="single" w:sz="12" w:space="0" w:color="3494BA" w:themeColor="accent1"/>
        </w:tcBorders>
      </w:tcPr>
    </w:tblStylePr>
    <w:tblStylePr w:type="lastRow">
      <w:rPr>
        <w:rFonts w:ascii="Arial" w:hAnsi="Arial"/>
        <w:color w:val="404040"/>
        <w:sz w:val="22"/>
      </w:rPr>
      <w:tblPr/>
      <w:tcPr>
        <w:tcBorders>
          <w:top w:val="single" w:sz="12" w:space="0" w:color="3494BA"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3494BA" w:themeColor="accent1"/>
        </w:tcBorders>
      </w:tcPr>
    </w:tblStylePr>
    <w:tblStylePr w:type="band1Horz">
      <w:rPr>
        <w:rFonts w:ascii="Arial" w:hAnsi="Arial"/>
        <w:color w:val="404040"/>
        <w:sz w:val="22"/>
      </w:rPr>
      <w:tblPr/>
      <w:tcPr>
        <w:tcBorders>
          <w:top w:val="single" w:sz="4" w:space="0" w:color="A9D5E7" w:themeColor="accent1" w:themeTint="67"/>
          <w:left w:val="single" w:sz="4" w:space="0" w:color="A9D5E7" w:themeColor="accent1" w:themeTint="67"/>
          <w:bottom w:val="single" w:sz="4" w:space="0" w:color="A9D5E7" w:themeColor="accent1" w:themeTint="67"/>
          <w:right w:val="single" w:sz="4" w:space="0" w:color="A9D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insideH w:val="single" w:sz="4" w:space="0" w:color="BBE1E5" w:themeColor="accent2" w:themeTint="67"/>
        <w:insideV w:val="single" w:sz="4" w:space="0" w:color="BBE1E5" w:themeColor="accent2" w:themeTint="67"/>
      </w:tblBorders>
    </w:tblPr>
    <w:tblStylePr w:type="firstRow">
      <w:rPr>
        <w:rFonts w:ascii="Arial" w:hAnsi="Arial"/>
        <w:color w:val="404040"/>
        <w:sz w:val="22"/>
      </w:rPr>
      <w:tblPr/>
      <w:tcPr>
        <w:tcBorders>
          <w:bottom w:val="single" w:sz="12" w:space="0" w:color="9CD3D9" w:themeColor="accent2" w:themeTint="97"/>
        </w:tcBorders>
      </w:tcPr>
    </w:tblStylePr>
    <w:tblStylePr w:type="lastRow">
      <w:rPr>
        <w:rFonts w:ascii="Arial" w:hAnsi="Arial"/>
        <w:color w:val="404040"/>
        <w:sz w:val="22"/>
      </w:rPr>
      <w:tblPr/>
      <w:tcPr>
        <w:tcBorders>
          <w:top w:val="single" w:sz="12" w:space="0" w:color="9CD3D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CD3D9" w:themeColor="accent2" w:themeTint="97"/>
        </w:tcBorders>
      </w:tcPr>
    </w:tblStylePr>
    <w:tblStylePr w:type="band1Horz">
      <w:rPr>
        <w:rFonts w:ascii="Arial" w:hAnsi="Arial"/>
        <w:color w:val="404040"/>
        <w:sz w:val="22"/>
      </w:rPr>
      <w:tblPr/>
      <w:tcPr>
        <w:tcBorders>
          <w:top w:val="single" w:sz="4" w:space="0" w:color="BBE1E5" w:themeColor="accent2" w:themeTint="67"/>
          <w:left w:val="single" w:sz="4" w:space="0" w:color="BBE1E5" w:themeColor="accent2" w:themeTint="67"/>
          <w:bottom w:val="single" w:sz="4" w:space="0" w:color="BBE1E5" w:themeColor="accent2" w:themeTint="67"/>
          <w:right w:val="single" w:sz="4" w:space="0" w:color="BBE1E5"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insideH w:val="single" w:sz="4" w:space="0" w:color="C7E4DB" w:themeColor="accent3" w:themeTint="67"/>
        <w:insideV w:val="single" w:sz="4" w:space="0" w:color="C7E4DB" w:themeColor="accent3" w:themeTint="67"/>
      </w:tblBorders>
    </w:tblPr>
    <w:tblStylePr w:type="firstRow">
      <w:rPr>
        <w:rFonts w:ascii="Arial" w:hAnsi="Arial"/>
        <w:color w:val="404040"/>
        <w:sz w:val="22"/>
      </w:rPr>
      <w:tblPr/>
      <w:tcPr>
        <w:tcBorders>
          <w:bottom w:val="single" w:sz="12" w:space="0" w:color="ACD7CA" w:themeColor="accent3" w:themeTint="98"/>
        </w:tcBorders>
      </w:tcPr>
    </w:tblStylePr>
    <w:tblStylePr w:type="lastRow">
      <w:rPr>
        <w:rFonts w:ascii="Arial" w:hAnsi="Arial"/>
        <w:color w:val="404040"/>
        <w:sz w:val="22"/>
      </w:rPr>
      <w:tblPr/>
      <w:tcPr>
        <w:tcBorders>
          <w:top w:val="single" w:sz="12" w:space="0" w:color="ACD7CA"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CD7CA" w:themeColor="accent3" w:themeTint="98"/>
        </w:tcBorders>
      </w:tcPr>
    </w:tblStylePr>
    <w:tblStylePr w:type="band1Horz">
      <w:rPr>
        <w:rFonts w:ascii="Arial" w:hAnsi="Arial"/>
        <w:color w:val="404040"/>
        <w:sz w:val="22"/>
      </w:rPr>
      <w:tblPr/>
      <w:tcPr>
        <w:tcBorders>
          <w:top w:val="single" w:sz="4" w:space="0" w:color="C7E4DB" w:themeColor="accent3" w:themeTint="67"/>
          <w:left w:val="single" w:sz="4" w:space="0" w:color="C7E4DB" w:themeColor="accent3" w:themeTint="67"/>
          <w:bottom w:val="single" w:sz="4" w:space="0" w:color="C7E4DB" w:themeColor="accent3" w:themeTint="67"/>
          <w:right w:val="single" w:sz="4" w:space="0" w:color="C7E4D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insideH w:val="single" w:sz="4" w:space="0" w:color="C9D0D1" w:themeColor="accent4" w:themeTint="67"/>
        <w:insideV w:val="single" w:sz="4" w:space="0" w:color="C9D0D1" w:themeColor="accent4" w:themeTint="67"/>
      </w:tblBorders>
    </w:tblPr>
    <w:tblStylePr w:type="firstRow">
      <w:rPr>
        <w:rFonts w:ascii="Arial" w:hAnsi="Arial"/>
        <w:color w:val="404040"/>
        <w:sz w:val="22"/>
      </w:rPr>
      <w:tblPr/>
      <w:tcPr>
        <w:tcBorders>
          <w:bottom w:val="single" w:sz="12" w:space="0" w:color="AEB9BA" w:themeColor="accent4" w:themeTint="9A"/>
        </w:tcBorders>
      </w:tcPr>
    </w:tblStylePr>
    <w:tblStylePr w:type="lastRow">
      <w:rPr>
        <w:rFonts w:ascii="Arial" w:hAnsi="Arial"/>
        <w:color w:val="404040"/>
        <w:sz w:val="22"/>
      </w:rPr>
      <w:tblPr/>
      <w:tcPr>
        <w:tcBorders>
          <w:top w:val="single" w:sz="12" w:space="0" w:color="AEB9BA"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EB9BA" w:themeColor="accent4" w:themeTint="9A"/>
        </w:tcBorders>
      </w:tcPr>
    </w:tblStylePr>
    <w:tblStylePr w:type="band1Horz">
      <w:rPr>
        <w:rFonts w:ascii="Arial" w:hAnsi="Arial"/>
        <w:color w:val="404040"/>
        <w:sz w:val="22"/>
      </w:rPr>
      <w:tblPr/>
      <w:tcPr>
        <w:tcBorders>
          <w:top w:val="single" w:sz="4" w:space="0" w:color="C9D0D1" w:themeColor="accent4" w:themeTint="67"/>
          <w:left w:val="single" w:sz="4" w:space="0" w:color="C9D0D1" w:themeColor="accent4" w:themeTint="67"/>
          <w:bottom w:val="single" w:sz="4" w:space="0" w:color="C9D0D1" w:themeColor="accent4" w:themeTint="67"/>
          <w:right w:val="single" w:sz="4" w:space="0" w:color="C9D0D1"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insideH w:val="single" w:sz="4" w:space="0" w:color="CDDDE1" w:themeColor="accent5" w:themeTint="67"/>
        <w:insideV w:val="single" w:sz="4" w:space="0" w:color="CDDDE1" w:themeColor="accent5" w:themeTint="67"/>
      </w:tblBorders>
    </w:tblPr>
    <w:tblStylePr w:type="firstRow">
      <w:rPr>
        <w:rFonts w:ascii="Arial" w:hAnsi="Arial"/>
        <w:color w:val="404040"/>
        <w:sz w:val="22"/>
      </w:rPr>
      <w:tblPr/>
      <w:tcPr>
        <w:tcBorders>
          <w:bottom w:val="single" w:sz="12" w:space="0" w:color="B4CCD2" w:themeColor="accent5" w:themeTint="9A"/>
        </w:tcBorders>
      </w:tcPr>
    </w:tblStylePr>
    <w:tblStylePr w:type="lastRow">
      <w:rPr>
        <w:rFonts w:ascii="Arial" w:hAnsi="Arial"/>
        <w:color w:val="404040"/>
        <w:sz w:val="22"/>
      </w:rPr>
      <w:tblPr/>
      <w:tcPr>
        <w:tcBorders>
          <w:top w:val="single" w:sz="12" w:space="0" w:color="B4CCD2"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4CCD2" w:themeColor="accent5" w:themeTint="9A"/>
        </w:tcBorders>
      </w:tcPr>
    </w:tblStylePr>
    <w:tblStylePr w:type="band1Horz">
      <w:rPr>
        <w:rFonts w:ascii="Arial" w:hAnsi="Arial"/>
        <w:color w:val="404040"/>
        <w:sz w:val="22"/>
      </w:rPr>
      <w:tblPr/>
      <w:tcPr>
        <w:tcBorders>
          <w:top w:val="single" w:sz="4" w:space="0" w:color="CDDDE1" w:themeColor="accent5" w:themeTint="67"/>
          <w:left w:val="single" w:sz="4" w:space="0" w:color="CDDDE1" w:themeColor="accent5" w:themeTint="67"/>
          <w:bottom w:val="single" w:sz="4" w:space="0" w:color="CDDDE1" w:themeColor="accent5" w:themeTint="67"/>
          <w:right w:val="single" w:sz="4" w:space="0" w:color="CDDDE1"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insideH w:val="single" w:sz="4" w:space="0" w:color="A1CDED" w:themeColor="accent6" w:themeTint="67"/>
        <w:insideV w:val="single" w:sz="4" w:space="0" w:color="A1CDED" w:themeColor="accent6" w:themeTint="67"/>
      </w:tblBorders>
    </w:tblPr>
    <w:tblStylePr w:type="firstRow">
      <w:rPr>
        <w:rFonts w:ascii="Arial" w:hAnsi="Arial"/>
        <w:color w:val="404040"/>
        <w:sz w:val="22"/>
      </w:rPr>
      <w:tblPr/>
      <w:tcPr>
        <w:tcBorders>
          <w:bottom w:val="single" w:sz="12" w:space="0" w:color="75B6E4" w:themeColor="accent6" w:themeTint="98"/>
        </w:tcBorders>
      </w:tcPr>
    </w:tblStylePr>
    <w:tblStylePr w:type="lastRow">
      <w:rPr>
        <w:rFonts w:ascii="Arial" w:hAnsi="Arial"/>
        <w:color w:val="404040"/>
        <w:sz w:val="22"/>
      </w:rPr>
      <w:tblPr/>
      <w:tcPr>
        <w:tcBorders>
          <w:top w:val="single" w:sz="12" w:space="0" w:color="75B6E4"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5B6E4" w:themeColor="accent6" w:themeTint="98"/>
        </w:tcBorders>
      </w:tcPr>
    </w:tblStylePr>
    <w:tblStylePr w:type="band1Horz">
      <w:rPr>
        <w:rFonts w:ascii="Arial" w:hAnsi="Arial"/>
        <w:color w:val="404040"/>
        <w:sz w:val="22"/>
      </w:rPr>
      <w:tblPr/>
      <w:tcPr>
        <w:tcBorders>
          <w:top w:val="single" w:sz="4" w:space="0" w:color="A1CDED" w:themeColor="accent6" w:themeTint="67"/>
          <w:left w:val="single" w:sz="4" w:space="0" w:color="A1CDED" w:themeColor="accent6" w:themeTint="67"/>
          <w:bottom w:val="single" w:sz="4" w:space="0" w:color="A1CDED" w:themeColor="accent6" w:themeTint="67"/>
          <w:right w:val="single" w:sz="4" w:space="0" w:color="A1CDED" w:themeColor="accent6" w:themeTint="67"/>
        </w:tcBorders>
      </w:tcPr>
    </w:tblStylePr>
  </w:style>
  <w:style w:type="character" w:customStyle="1" w:styleId="HeaderChar1">
    <w:name w:val="Header Char1"/>
    <w:basedOn w:val="DefaultParagraphFont"/>
    <w:link w:val="Header"/>
    <w:uiPriority w:val="99"/>
    <w:qFormat/>
  </w:style>
  <w:style w:type="character" w:customStyle="1" w:styleId="FooterChar1">
    <w:name w:val="Footer Char1"/>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1Char1">
    <w:name w:val="Heading 1 Char1"/>
    <w:basedOn w:val="DefaultParagraphFont"/>
    <w:link w:val="Heading1"/>
    <w:uiPriority w:val="9"/>
    <w:qFormat/>
    <w:rPr>
      <w:rFonts w:ascii="Calibri Light" w:eastAsia="Calibri Light" w:hAnsi="Calibri Light" w:cs="Calibri Light"/>
      <w:color w:val="3494BA" w:themeColor="accent1"/>
      <w:sz w:val="32"/>
      <w:szCs w:val="32"/>
    </w:rPr>
  </w:style>
  <w:style w:type="character" w:customStyle="1" w:styleId="Heading2Char1">
    <w:name w:val="Heading 2 Char1"/>
    <w:basedOn w:val="DefaultParagraphFont"/>
    <w:link w:val="Heading2"/>
    <w:uiPriority w:val="9"/>
    <w:qFormat/>
    <w:rPr>
      <w:rFonts w:ascii="Calibri Light" w:eastAsia="Calibri Light" w:hAnsi="Calibri Light" w:cs="Calibri Light"/>
      <w:color w:val="3494BA" w:themeColor="accent1"/>
      <w:sz w:val="28"/>
      <w:szCs w:val="26"/>
    </w:rPr>
  </w:style>
  <w:style w:type="character" w:customStyle="1" w:styleId="Heading3Char1">
    <w:name w:val="Heading 3 Char1"/>
    <w:basedOn w:val="DefaultParagraphFont"/>
    <w:link w:val="Heading3"/>
    <w:uiPriority w:val="9"/>
    <w:qFormat/>
    <w:rPr>
      <w:rFonts w:ascii="Calibri Light" w:eastAsia="Calibri Light" w:hAnsi="Calibri Light" w:cs="Calibri Light"/>
      <w:b/>
      <w:color w:val="3494BA" w:themeColor="accent1"/>
      <w:sz w:val="24"/>
      <w:szCs w:val="24"/>
    </w:rPr>
  </w:style>
  <w:style w:type="character" w:customStyle="1" w:styleId="Heading4Char1">
    <w:name w:val="Heading 4 Char1"/>
    <w:basedOn w:val="DefaultParagraphFont"/>
    <w:link w:val="Heading4"/>
    <w:uiPriority w:val="9"/>
    <w:qFormat/>
    <w:rPr>
      <w:rFonts w:ascii="Calibri Light" w:eastAsia="Calibri Light" w:hAnsi="Calibri Light" w:cs="Calibri Light"/>
      <w:i/>
      <w:iCs/>
      <w:color w:val="276E8B" w:themeColor="accent1" w:themeShade="BF"/>
    </w:rPr>
  </w:style>
  <w:style w:type="character" w:customStyle="1" w:styleId="Heading5Char1">
    <w:name w:val="Heading 5 Char1"/>
    <w:basedOn w:val="DefaultParagraphFont"/>
    <w:link w:val="Heading5"/>
    <w:uiPriority w:val="9"/>
    <w:semiHidden/>
    <w:qFormat/>
    <w:rPr>
      <w:rFonts w:ascii="Calibri Light" w:eastAsia="Calibri Light" w:hAnsi="Calibri Light" w:cs="Calibri Light"/>
      <w:color w:val="276E8B" w:themeColor="accent1" w:themeShade="BF"/>
    </w:rPr>
  </w:style>
  <w:style w:type="character" w:customStyle="1" w:styleId="Heading6Char1">
    <w:name w:val="Heading 6 Char1"/>
    <w:basedOn w:val="DefaultParagraphFont"/>
    <w:link w:val="Heading6"/>
    <w:uiPriority w:val="9"/>
    <w:semiHidden/>
    <w:qFormat/>
    <w:rPr>
      <w:rFonts w:ascii="Calibri Light" w:eastAsia="Calibri Light" w:hAnsi="Calibri Light" w:cs="Calibri Light"/>
      <w:color w:val="1A495C" w:themeColor="accent1" w:themeShade="7F"/>
    </w:rPr>
  </w:style>
  <w:style w:type="character" w:customStyle="1" w:styleId="Heading7Char1">
    <w:name w:val="Heading 7 Char1"/>
    <w:basedOn w:val="DefaultParagraphFont"/>
    <w:link w:val="Heading7"/>
    <w:uiPriority w:val="9"/>
    <w:semiHidden/>
    <w:qFormat/>
    <w:rPr>
      <w:rFonts w:ascii="Calibri Light" w:eastAsia="Calibri Light" w:hAnsi="Calibri Light" w:cs="Calibri Light"/>
      <w:i/>
      <w:iCs/>
      <w:color w:val="1A495C" w:themeColor="accent1" w:themeShade="7F"/>
    </w:rPr>
  </w:style>
  <w:style w:type="character" w:customStyle="1" w:styleId="Heading8Char1">
    <w:name w:val="Heading 8 Char1"/>
    <w:basedOn w:val="DefaultParagraphFont"/>
    <w:link w:val="Heading8"/>
    <w:uiPriority w:val="9"/>
    <w:semiHidden/>
    <w:qFormat/>
    <w:rPr>
      <w:rFonts w:ascii="Calibri Light" w:eastAsia="Calibri Light" w:hAnsi="Calibri Light" w:cs="Calibri Light"/>
      <w:color w:val="272727" w:themeColor="text1" w:themeTint="D8"/>
      <w:sz w:val="21"/>
      <w:szCs w:val="21"/>
    </w:rPr>
  </w:style>
  <w:style w:type="character" w:customStyle="1" w:styleId="Heading9Char1">
    <w:name w:val="Heading 9 Char1"/>
    <w:basedOn w:val="DefaultParagraphFont"/>
    <w:link w:val="Heading9"/>
    <w:uiPriority w:val="9"/>
    <w:semiHidden/>
    <w:qFormat/>
    <w:rPr>
      <w:rFonts w:ascii="Calibri Light" w:eastAsia="Calibri Light" w:hAnsi="Calibri Light" w:cs="Calibri Light"/>
      <w:i/>
      <w:iCs/>
      <w:color w:val="272727" w:themeColor="text1" w:themeTint="D8"/>
      <w:sz w:val="21"/>
      <w:szCs w:val="21"/>
    </w:rPr>
  </w:style>
  <w:style w:type="character" w:customStyle="1" w:styleId="paragraf1Char">
    <w:name w:val="paragraf1 Char"/>
    <w:basedOn w:val="Heading3Char1"/>
    <w:link w:val="paragraf1"/>
    <w:qFormat/>
    <w:rPr>
      <w:rFonts w:ascii="Calibri Light" w:eastAsia="Calibri Light" w:hAnsi="Calibri Light" w:cs="Calibri"/>
      <w:b w:val="0"/>
      <w:color w:val="3494BA" w:themeColor="accent1"/>
      <w:sz w:val="24"/>
      <w:szCs w:val="24"/>
    </w:rPr>
  </w:style>
  <w:style w:type="character" w:customStyle="1" w:styleId="CriteriuChar">
    <w:name w:val="Criteriu Char"/>
    <w:basedOn w:val="DefaultParagraphFont"/>
    <w:link w:val="Criteriu"/>
    <w:qFormat/>
    <w:rPr>
      <w:b/>
    </w:rPr>
  </w:style>
  <w:style w:type="character" w:styleId="Hyperlink">
    <w:name w:val="Hyperlink"/>
    <w:basedOn w:val="DefaultParagraphFont"/>
    <w:uiPriority w:val="99"/>
    <w:unhideWhenUsed/>
    <w:rPr>
      <w:color w:val="6B9F25" w:themeColor="hyperlink"/>
      <w:u w:val="single"/>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InstituieChar">
    <w:name w:val="Instituție Char"/>
    <w:link w:val="Instituie"/>
    <w:qFormat/>
    <w:rPr>
      <w:rFonts w:ascii="Trajan Pro" w:eastAsia="Calibri" w:hAnsi="Trajan Pro" w:cs="Times New Roman"/>
      <w:sz w:val="32"/>
      <w:szCs w:val="32"/>
    </w:rPr>
  </w:style>
  <w:style w:type="character" w:customStyle="1" w:styleId="PTJ-headerChar">
    <w:name w:val="PTJ-header Char"/>
    <w:basedOn w:val="HeaderChar1"/>
    <w:link w:val="PTJ-header"/>
    <w:qFormat/>
    <w:rPr>
      <w:rFonts w:ascii="Calibri Light" w:hAnsi="Calibri Light" w:cs="Calibri Light"/>
      <w:color w:val="3494BA" w:themeColor="accent1"/>
      <w:spacing w:val="-12"/>
      <w:lang w:val="en-US"/>
    </w:rPr>
  </w:style>
  <w:style w:type="character" w:customStyle="1" w:styleId="PTJ-logoChar">
    <w:name w:val="PTJ-logo Char"/>
    <w:basedOn w:val="DefaultParagraphFont"/>
    <w:link w:val="PTJ-logo"/>
    <w:qFormat/>
    <w:rPr>
      <w:rFonts w:ascii="Calibri Light" w:hAnsi="Calibri Light" w:cs="Calibri Light"/>
      <w:color w:val="3494BA" w:themeColor="accent1"/>
      <w:spacing w:val="-40"/>
      <w:sz w:val="56"/>
      <w:szCs w:val="56"/>
    </w:rPr>
  </w:style>
  <w:style w:type="character" w:customStyle="1" w:styleId="GS-coverChar">
    <w:name w:val="GS-cover Char"/>
    <w:basedOn w:val="DefaultParagraphFont"/>
    <w:link w:val="GS-cover"/>
    <w:qFormat/>
    <w:rPr>
      <w:rFonts w:ascii="Calibri Light" w:hAnsi="Calibri Light" w:cs="Calibri Light"/>
      <w:b/>
      <w:color w:val="3494BA" w:themeColor="accent1"/>
      <w:sz w:val="96"/>
      <w:szCs w:val="96"/>
    </w:rPr>
  </w:style>
  <w:style w:type="character" w:styleId="CommentReference">
    <w:name w:val="annotation reference"/>
    <w:basedOn w:val="DefaultParagraphFont"/>
    <w:uiPriority w:val="99"/>
    <w:unhideWhenUsed/>
    <w:qFormat/>
    <w:rPr>
      <w:sz w:val="16"/>
      <w:szCs w:val="16"/>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FootnoteTextChar">
    <w:name w:val="Footnote Text Char"/>
    <w:basedOn w:val="DefaultParagraphFont"/>
    <w:qFormat/>
    <w:rPr>
      <w:sz w:val="20"/>
      <w:szCs w:val="20"/>
    </w:rPr>
  </w:style>
  <w:style w:type="character" w:customStyle="1" w:styleId="Caracterelenoteidesubsol">
    <w:name w:val="Caracterele notei de subsol"/>
    <w:link w:val="BVIfnrChar1Char"/>
    <w:qFormat/>
    <w:rPr>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qFormat/>
    <w:rPr>
      <w:vertAlign w:val="superscript"/>
    </w:rPr>
  </w:style>
  <w:style w:type="character" w:customStyle="1" w:styleId="FootnoteTextChar1">
    <w:name w:val="Footnote Text Char1"/>
    <w:link w:val="FootnoteText"/>
    <w:qFormat/>
    <w:rPr>
      <w:rFonts w:eastAsia="Times New Roman" w:cs="Times New Roman"/>
      <w:sz w:val="16"/>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style>
  <w:style w:type="character" w:styleId="FollowedHyperlink">
    <w:name w:val="FollowedHyperlink"/>
    <w:basedOn w:val="DefaultParagraphFont"/>
    <w:uiPriority w:val="99"/>
    <w:semiHidden/>
    <w:unhideWhenUsed/>
    <w:rPr>
      <w:color w:val="9F6715" w:themeColor="followedHyperlink"/>
      <w:u w:val="single"/>
    </w:rPr>
  </w:style>
  <w:style w:type="character" w:customStyle="1" w:styleId="5NormalChar">
    <w:name w:val="5 Normal Char"/>
    <w:link w:val="5Normal"/>
    <w:qFormat/>
    <w:rPr>
      <w:rFonts w:ascii="Trebuchet MS" w:hAnsi="Trebuchet MS"/>
      <w:spacing w:val="-2"/>
      <w:szCs w:val="24"/>
    </w:rPr>
  </w:style>
  <w:style w:type="character" w:customStyle="1" w:styleId="FontStyle37">
    <w:name w:val="Font Style37"/>
    <w:uiPriority w:val="99"/>
    <w:qFormat/>
    <w:rPr>
      <w:rFonts w:ascii="Calibri" w:hAnsi="Calibri" w:cs="Calibri"/>
      <w:sz w:val="22"/>
      <w:szCs w:val="22"/>
    </w:rPr>
  </w:style>
  <w:style w:type="character" w:customStyle="1" w:styleId="sden">
    <w:name w:val="s_den"/>
    <w:basedOn w:val="DefaultParagraphFont"/>
    <w:qFormat/>
  </w:style>
  <w:style w:type="character" w:customStyle="1" w:styleId="HTMLPreformattedChar">
    <w:name w:val="HTML Preformatted Char"/>
    <w:basedOn w:val="DefaultParagraphFont"/>
    <w:link w:val="HTMLPreformatted"/>
    <w:uiPriority w:val="99"/>
    <w:semiHidden/>
    <w:qFormat/>
    <w:rPr>
      <w:rFonts w:ascii="Courier New" w:eastAsia="Times New Roman" w:hAnsi="Courier New" w:cs="Courier New"/>
      <w:sz w:val="20"/>
      <w:szCs w:val="20"/>
      <w:lang w:val="en-US"/>
    </w:rPr>
  </w:style>
  <w:style w:type="character" w:customStyle="1" w:styleId="y2iqfc">
    <w:name w:val="y2iqfc"/>
    <w:basedOn w:val="DefaultParagraphFont"/>
    <w:qFormat/>
  </w:style>
  <w:style w:type="character" w:customStyle="1" w:styleId="saln">
    <w:name w:val="s_aln"/>
    <w:basedOn w:val="DefaultParagraphFont"/>
    <w:qFormat/>
  </w:style>
  <w:style w:type="character" w:customStyle="1" w:styleId="salnbdy">
    <w:name w:val="s_aln_bdy"/>
    <w:basedOn w:val="DefaultParagraphFont"/>
    <w:qFormat/>
  </w:style>
  <w:style w:type="character" w:customStyle="1" w:styleId="slgi">
    <w:name w:val="s_lgi"/>
    <w:basedOn w:val="DefaultParagraphFont"/>
    <w:qFormat/>
  </w:style>
  <w:style w:type="character" w:customStyle="1" w:styleId="salnttl">
    <w:name w:val="s_aln_ttl"/>
    <w:basedOn w:val="DefaultParagraphFont"/>
    <w:qFormat/>
  </w:style>
  <w:style w:type="character" w:customStyle="1" w:styleId="cmg">
    <w:name w:val="cmg"/>
    <w:basedOn w:val="DefaultParagraphFont"/>
    <w:qFormat/>
  </w:style>
  <w:style w:type="character" w:styleId="Strong">
    <w:name w:val="Strong"/>
    <w:basedOn w:val="DefaultParagraphFont"/>
    <w:uiPriority w:val="22"/>
    <w:qFormat/>
    <w:rPr>
      <w:b/>
      <w:bCs/>
    </w:rPr>
  </w:style>
  <w:style w:type="character" w:customStyle="1" w:styleId="contentpasted01">
    <w:name w:val="contentpasted01"/>
    <w:basedOn w:val="DefaultParagraphFont"/>
    <w:qFormat/>
  </w:style>
  <w:style w:type="character" w:customStyle="1" w:styleId="spctbdy">
    <w:name w:val="s_pct_bdy"/>
    <w:basedOn w:val="DefaultParagraphFont"/>
    <w:qFormat/>
  </w:style>
  <w:style w:type="character" w:customStyle="1" w:styleId="Legturdeindex">
    <w:name w:val="Legătură de index"/>
    <w:qFormat/>
  </w:style>
  <w:style w:type="character" w:styleId="LineNumber">
    <w:name w:val="line number"/>
  </w:style>
  <w:style w:type="character" w:customStyle="1" w:styleId="Caracterelenotelordefinal">
    <w:name w:val="Caracterele notelor de final"/>
    <w:qFormat/>
    <w:rPr>
      <w:vertAlign w:val="superscript"/>
    </w:rPr>
  </w:style>
  <w:style w:type="character" w:styleId="EndnoteReference">
    <w:name w:val="endnote reference"/>
    <w:rPr>
      <w:vertAlign w:val="superscript"/>
    </w:rPr>
  </w:style>
  <w:style w:type="paragraph" w:customStyle="1" w:styleId="Titlu1">
    <w:name w:val="Titlu1"/>
    <w:basedOn w:val="Normal"/>
    <w:next w:val="BodyText"/>
    <w:qFormat/>
    <w:pPr>
      <w:keepNext/>
      <w:spacing w:before="240"/>
    </w:pPr>
    <w:rPr>
      <w:rFonts w:ascii="Liberation Sans" w:eastAsia="Microsoft YaHei" w:hAnsi="Liberation Sans"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qFormat/>
    <w:rPr>
      <w:rFonts w:cs="Lucida Sans"/>
      <w:i/>
      <w:iCs/>
      <w:sz w:val="24"/>
      <w:szCs w:val="24"/>
    </w:rPr>
  </w:style>
  <w:style w:type="paragraph" w:customStyle="1" w:styleId="Index">
    <w:name w:val="Index"/>
    <w:basedOn w:val="Normal"/>
    <w:qFormat/>
    <w:rPr>
      <w:rFonts w:cs="Lucida Sans"/>
    </w:rPr>
  </w:style>
  <w:style w:type="paragraph" w:styleId="Title">
    <w:name w:val="Title"/>
    <w:basedOn w:val="Normal"/>
    <w:next w:val="Normal"/>
    <w:link w:val="TitleChar"/>
    <w:uiPriority w:val="10"/>
    <w:qFormat/>
    <w:pPr>
      <w:keepNext/>
      <w:keepLines/>
      <w:spacing w:before="480"/>
    </w:pPr>
    <w:rPr>
      <w:b/>
      <w:sz w:val="72"/>
      <w:szCs w:val="72"/>
    </w:rPr>
  </w:style>
  <w:style w:type="paragraph" w:customStyle="1" w:styleId="HeaderandFooter">
    <w:name w:val="Header and Footer"/>
    <w:basedOn w:val="Normal"/>
    <w:qFormat/>
  </w:style>
  <w:style w:type="paragraph" w:styleId="Header">
    <w:name w:val="header"/>
    <w:basedOn w:val="Normal"/>
    <w:link w:val="HeaderChar1"/>
    <w:uiPriority w:val="99"/>
    <w:unhideWhenUsed/>
    <w:pPr>
      <w:tabs>
        <w:tab w:val="center" w:pos="4536"/>
        <w:tab w:val="right" w:pos="9072"/>
      </w:tabs>
      <w:spacing w:after="0"/>
    </w:pPr>
  </w:style>
  <w:style w:type="paragraph" w:styleId="Footer">
    <w:name w:val="footer"/>
    <w:basedOn w:val="Normal"/>
    <w:link w:val="FooterChar1"/>
    <w:uiPriority w:val="99"/>
    <w:unhideWhenUsed/>
    <w:pPr>
      <w:tabs>
        <w:tab w:val="center" w:pos="4536"/>
        <w:tab w:val="right" w:pos="9072"/>
      </w:tabs>
      <w:spacing w:after="0"/>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pPr>
      <w:contextualSpacing/>
    </w:pPr>
  </w:style>
  <w:style w:type="paragraph" w:styleId="BalloonText">
    <w:name w:val="Balloon Text"/>
    <w:basedOn w:val="Normal"/>
    <w:link w:val="BalloonTextChar"/>
    <w:uiPriority w:val="99"/>
    <w:semiHidden/>
    <w:unhideWhenUsed/>
    <w:qFormat/>
    <w:pPr>
      <w:spacing w:after="0"/>
    </w:pPr>
    <w:rPr>
      <w:rFonts w:ascii="Segoe UI" w:hAnsi="Segoe UI" w:cs="Segoe UI"/>
      <w:sz w:val="18"/>
      <w:szCs w:val="18"/>
    </w:rPr>
  </w:style>
  <w:style w:type="paragraph" w:customStyle="1" w:styleId="paragraf1">
    <w:name w:val="paragraf1"/>
    <w:basedOn w:val="Heading3"/>
    <w:link w:val="paragraf1Char"/>
    <w:qFormat/>
    <w:pPr>
      <w:numPr>
        <w:ilvl w:val="0"/>
        <w:numId w:val="0"/>
      </w:numPr>
      <w:spacing w:after="120"/>
      <w:ind w:left="720"/>
    </w:pPr>
    <w:rPr>
      <w:rFonts w:ascii="Calibri" w:hAnsi="Calibri" w:cs="Calibri"/>
      <w:b w:val="0"/>
      <w:color w:val="auto"/>
      <w:sz w:val="22"/>
    </w:rPr>
  </w:style>
  <w:style w:type="paragraph" w:customStyle="1" w:styleId="Criteriu">
    <w:name w:val="Criteriu"/>
    <w:basedOn w:val="ListParagraph"/>
    <w:link w:val="CriteriuChar"/>
    <w:qFormat/>
    <w:pPr>
      <w:numPr>
        <w:numId w:val="2"/>
      </w:numPr>
      <w:spacing w:before="480"/>
    </w:pPr>
    <w:rPr>
      <w:b/>
    </w:rPr>
  </w:style>
  <w:style w:type="paragraph" w:styleId="TOC1">
    <w:name w:val="toc 1"/>
    <w:basedOn w:val="Normal"/>
    <w:next w:val="Normal"/>
    <w:uiPriority w:val="39"/>
    <w:unhideWhenUsed/>
    <w:pPr>
      <w:spacing w:after="100"/>
    </w:pPr>
  </w:style>
  <w:style w:type="paragraph" w:styleId="TOC3">
    <w:name w:val="toc 3"/>
    <w:basedOn w:val="Normal"/>
    <w:next w:val="Normal"/>
    <w:uiPriority w:val="39"/>
    <w:unhideWhenUsed/>
    <w:pPr>
      <w:spacing w:after="100"/>
      <w:ind w:left="1304"/>
    </w:pPr>
  </w:style>
  <w:style w:type="paragraph" w:styleId="TOC2">
    <w:name w:val="toc 2"/>
    <w:basedOn w:val="Normal"/>
    <w:next w:val="Normal"/>
    <w:uiPriority w:val="39"/>
    <w:unhideWhenUsed/>
    <w:pPr>
      <w:spacing w:after="100"/>
      <w:ind w:left="1134"/>
    </w:pPr>
  </w:style>
  <w:style w:type="paragraph" w:styleId="TOC4">
    <w:name w:val="toc 4"/>
    <w:basedOn w:val="Normal"/>
    <w:next w:val="Normal"/>
    <w:uiPriority w:val="39"/>
    <w:unhideWhenUsed/>
    <w:pPr>
      <w:spacing w:after="100"/>
      <w:ind w:left="660"/>
    </w:pPr>
    <w:rPr>
      <w:lang w:eastAsia="ro-RO"/>
    </w:rPr>
  </w:style>
  <w:style w:type="paragraph" w:styleId="TOC5">
    <w:name w:val="toc 5"/>
    <w:basedOn w:val="Normal"/>
    <w:next w:val="Normal"/>
    <w:uiPriority w:val="39"/>
    <w:unhideWhenUsed/>
    <w:pPr>
      <w:spacing w:after="100"/>
      <w:ind w:left="880"/>
    </w:pPr>
    <w:rPr>
      <w:lang w:eastAsia="ro-RO"/>
    </w:rPr>
  </w:style>
  <w:style w:type="paragraph" w:styleId="TOC6">
    <w:name w:val="toc 6"/>
    <w:basedOn w:val="Normal"/>
    <w:next w:val="Normal"/>
    <w:uiPriority w:val="39"/>
    <w:unhideWhenUsed/>
    <w:pPr>
      <w:spacing w:after="100"/>
      <w:ind w:left="1100"/>
    </w:pPr>
    <w:rPr>
      <w:lang w:eastAsia="ro-RO"/>
    </w:rPr>
  </w:style>
  <w:style w:type="paragraph" w:styleId="TOC7">
    <w:name w:val="toc 7"/>
    <w:basedOn w:val="Normal"/>
    <w:next w:val="Normal"/>
    <w:uiPriority w:val="39"/>
    <w:unhideWhenUsed/>
    <w:pPr>
      <w:spacing w:after="100"/>
      <w:ind w:left="1320"/>
    </w:pPr>
    <w:rPr>
      <w:lang w:eastAsia="ro-RO"/>
    </w:rPr>
  </w:style>
  <w:style w:type="paragraph" w:styleId="TOC8">
    <w:name w:val="toc 8"/>
    <w:basedOn w:val="Normal"/>
    <w:next w:val="Normal"/>
    <w:uiPriority w:val="39"/>
    <w:unhideWhenUsed/>
    <w:pPr>
      <w:spacing w:after="100"/>
      <w:ind w:left="1540"/>
    </w:pPr>
    <w:rPr>
      <w:lang w:eastAsia="ro-RO"/>
    </w:rPr>
  </w:style>
  <w:style w:type="paragraph" w:styleId="TOC9">
    <w:name w:val="toc 9"/>
    <w:basedOn w:val="Normal"/>
    <w:next w:val="Normal"/>
    <w:uiPriority w:val="39"/>
    <w:unhideWhenUsed/>
    <w:pPr>
      <w:spacing w:after="100"/>
      <w:ind w:left="1760"/>
    </w:pPr>
    <w:rPr>
      <w:lang w:eastAsia="ro-RO"/>
    </w:rPr>
  </w:style>
  <w:style w:type="paragraph" w:customStyle="1" w:styleId="Instituie">
    <w:name w:val="Instituție"/>
    <w:basedOn w:val="Normal"/>
    <w:link w:val="InstituieChar"/>
    <w:qFormat/>
    <w:rPr>
      <w:rFonts w:ascii="Trajan Pro" w:hAnsi="Trajan Pro" w:cs="Times New Roman"/>
      <w:sz w:val="32"/>
      <w:szCs w:val="32"/>
    </w:rPr>
  </w:style>
  <w:style w:type="paragraph" w:styleId="IndexHeading">
    <w:name w:val="index heading"/>
    <w:basedOn w:val="Titlu1"/>
  </w:style>
  <w:style w:type="paragraph" w:styleId="TOCHeading">
    <w:name w:val="TOC Heading"/>
    <w:basedOn w:val="Heading1"/>
    <w:next w:val="Normal"/>
    <w:uiPriority w:val="39"/>
    <w:unhideWhenUsed/>
    <w:qFormat/>
    <w:p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pPr>
      <w:spacing w:before="0" w:line="180" w:lineRule="exact"/>
      <w:ind w:left="0"/>
    </w:pPr>
    <w:rPr>
      <w:rFonts w:ascii="Calibri Light" w:hAnsi="Calibri Light" w:cs="Calibri Light"/>
      <w:color w:val="3494BA" w:themeColor="accent1"/>
      <w:spacing w:val="-12"/>
      <w:lang w:val="en-US"/>
    </w:rPr>
  </w:style>
  <w:style w:type="paragraph" w:customStyle="1" w:styleId="PTJ-logo">
    <w:name w:val="PTJ-logo"/>
    <w:basedOn w:val="Normal"/>
    <w:link w:val="PTJ-logoChar"/>
    <w:qFormat/>
    <w:pPr>
      <w:pBdr>
        <w:left w:val="single" w:sz="4" w:space="4" w:color="3494BA"/>
      </w:pBdr>
      <w:spacing w:before="0" w:after="0" w:line="420" w:lineRule="exact"/>
      <w:ind w:left="7088" w:right="-851"/>
    </w:pPr>
    <w:rPr>
      <w:rFonts w:ascii="Calibri Light" w:hAnsi="Calibri Light" w:cs="Calibri Light"/>
      <w:color w:val="3494BA" w:themeColor="accent1"/>
      <w:spacing w:val="-40"/>
      <w:sz w:val="56"/>
      <w:szCs w:val="56"/>
    </w:rPr>
  </w:style>
  <w:style w:type="paragraph" w:customStyle="1" w:styleId="GS-cover">
    <w:name w:val="GS-cover"/>
    <w:basedOn w:val="Normal"/>
    <w:link w:val="GS-coverChar"/>
    <w:qFormat/>
    <w:pPr>
      <w:spacing w:before="0" w:after="0" w:line="800" w:lineRule="exact"/>
    </w:pPr>
    <w:rPr>
      <w:rFonts w:ascii="Calibri Light" w:hAnsi="Calibri Light" w:cs="Calibri Light"/>
      <w:b/>
      <w:color w:val="3494BA" w:themeColor="accent1"/>
      <w:sz w:val="96"/>
      <w:szCs w:val="9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noteText">
    <w:name w:val="footnote text"/>
    <w:basedOn w:val="Normal"/>
    <w:link w:val="FootnoteTextChar1"/>
    <w:qFormat/>
    <w:pPr>
      <w:spacing w:before="0" w:after="0"/>
      <w:ind w:left="0"/>
    </w:pPr>
    <w:rPr>
      <w:rFonts w:eastAsia="Times New Roman" w:cs="Times New Roman"/>
      <w:sz w:val="16"/>
      <w:szCs w:val="20"/>
    </w:rPr>
  </w:style>
  <w:style w:type="paragraph" w:customStyle="1" w:styleId="BVIfnrChar1Char">
    <w:name w:val="BVI fnr Char1 Char"/>
    <w:basedOn w:val="Normal"/>
    <w:next w:val="Normal"/>
    <w:link w:val="Caracterelenoteidesubsol"/>
    <w:uiPriority w:val="99"/>
    <w:qFormat/>
    <w:pPr>
      <w:spacing w:before="0" w:after="160" w:line="240" w:lineRule="exact"/>
      <w:ind w:left="0"/>
    </w:pPr>
    <w:rPr>
      <w:vertAlign w:val="superscript"/>
    </w:rPr>
  </w:style>
  <w:style w:type="paragraph" w:customStyle="1" w:styleId="Head1-Art">
    <w:name w:val="Head1-Art"/>
    <w:basedOn w:val="Normal"/>
    <w:qFormat/>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qFormat/>
    <w:rPr>
      <w:b w:val="0"/>
      <w:bCs w:val="0"/>
      <w:caps w:val="0"/>
    </w:rPr>
  </w:style>
  <w:style w:type="paragraph" w:customStyle="1" w:styleId="Head3-Bullet">
    <w:name w:val="Head3-Bullet"/>
    <w:basedOn w:val="Head2-Alin"/>
    <w:qFormat/>
  </w:style>
  <w:style w:type="paragraph" w:customStyle="1" w:styleId="Head4-Subsect">
    <w:name w:val="Head4-Subsect"/>
    <w:basedOn w:val="Head3-Bullet"/>
    <w:qFormat/>
    <w:rPr>
      <w:b/>
      <w:bCs/>
    </w:rPr>
  </w:style>
  <w:style w:type="paragraph" w:customStyle="1" w:styleId="Head5-Subsect">
    <w:name w:val="Head5-Subsect"/>
    <w:basedOn w:val="Head4-Subsect"/>
    <w:qFormat/>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Revision">
    <w:name w:val="Revision"/>
    <w:uiPriority w:val="99"/>
    <w:semiHidden/>
    <w:qFormat/>
  </w:style>
  <w:style w:type="paragraph" w:customStyle="1" w:styleId="qowt-stl-normal">
    <w:name w:val="qowt-stl-normal"/>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5Normal">
    <w:name w:val="5 Normal"/>
    <w:basedOn w:val="Normal"/>
    <w:link w:val="5NormalChar"/>
    <w:qFormat/>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left="0" w:right="57"/>
    </w:pPr>
    <w:rPr>
      <w:rFonts w:ascii="Trebuchet MS" w:hAnsi="Trebuchet MS"/>
      <w:spacing w:val="-2"/>
      <w:szCs w:val="24"/>
    </w:rPr>
  </w:style>
  <w:style w:type="paragraph" w:customStyle="1" w:styleId="doc-ti">
    <w:name w:val="doc-ti"/>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Default">
    <w:name w:val="Default"/>
    <w:qFormat/>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paragraph" w:customStyle="1" w:styleId="Normal1">
    <w:name w:val="Normal1"/>
    <w:basedOn w:val="Normal"/>
    <w:qFormat/>
    <w:pPr>
      <w:spacing w:before="60" w:after="60"/>
      <w:ind w:left="0"/>
    </w:pPr>
    <w:rPr>
      <w:rFonts w:ascii="Trebuchet MS" w:eastAsia="Times New Roman" w:hAnsi="Trebuchet MS" w:cs="Times New Roman"/>
      <w:sz w:val="20"/>
      <w:szCs w:val="24"/>
    </w:rPr>
  </w:style>
  <w:style w:type="paragraph" w:customStyle="1" w:styleId="al">
    <w:name w:val="a_l"/>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ac">
    <w:name w:val="a_c"/>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qFormat/>
    <w:pPr>
      <w:spacing w:beforeAutospacing="1" w:afterAutospacing="1"/>
      <w:ind w:left="0"/>
      <w:jc w:val="left"/>
    </w:pPr>
    <w:rPr>
      <w:rFonts w:ascii="Times New Roman" w:eastAsia="Times New Roman" w:hAnsi="Times New Roman" w:cs="Times New Roman"/>
      <w:sz w:val="24"/>
      <w:szCs w:val="24"/>
      <w:lang w:val="en-US"/>
    </w:rPr>
  </w:style>
  <w:style w:type="paragraph" w:customStyle="1" w:styleId="contentpasted0">
    <w:name w:val="contentpasted0"/>
    <w:basedOn w:val="Normal"/>
    <w:qFormat/>
    <w:pPr>
      <w:spacing w:beforeAutospacing="1" w:afterAutospacing="1"/>
      <w:ind w:left="0"/>
      <w:jc w:val="left"/>
    </w:pPr>
    <w:rPr>
      <w:lang w:val="en-US"/>
    </w:rPr>
  </w:style>
  <w:style w:type="numbering" w:customStyle="1" w:styleId="H1">
    <w:name w:val="H1"/>
    <w:uiPriority w:val="99"/>
    <w:qFormat/>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7"/>
    <w:basedOn w:val="TableNormal"/>
    <w:rsid w:val="00B53E43"/>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TableGrid1">
    <w:name w:val="Table Grid1"/>
    <w:basedOn w:val="TableNormal"/>
    <w:next w:val="TableGrid"/>
    <w:uiPriority w:val="39"/>
    <w:rsid w:val="00F31268"/>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cs="Times New Roman"/>
      <w:kern w:val="2"/>
      <w:sz w:val="20"/>
      <w:szCs w:val="20"/>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6"/>
    <w:basedOn w:val="TableNormal"/>
    <w:rsid w:val="00F31268"/>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TableGrid2">
    <w:name w:val="Table Grid2"/>
    <w:basedOn w:val="TableNormal"/>
    <w:next w:val="TableGrid"/>
    <w:rsid w:val="00BF6B67"/>
    <w:pPr>
      <w:pBdr>
        <w:top w:val="none" w:sz="0" w:space="0" w:color="auto"/>
        <w:left w:val="none" w:sz="0" w:space="0" w:color="auto"/>
        <w:bottom w:val="none" w:sz="0" w:space="0" w:color="auto"/>
        <w:right w:val="none" w:sz="0" w:space="0" w:color="auto"/>
        <w:between w:val="none" w:sz="0" w:space="0" w:color="auto"/>
      </w:pBdr>
      <w:spacing w:before="120"/>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5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y-smi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transelectrica.ro/harti_crd_t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muncii.gov.ro/wp-content/uploads/2025/10/F6_Atlas_Rural_RO_23Mar2016.pdf" TargetMode="External"/><Relationship Id="rId14" Type="http://schemas.openxmlformats.org/officeDocument/2006/relationships/hyperlink" Target="http://www.anpm.ro/domeni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gg.gov.ro/1/wp-content/uploads/2018/10/SNDD-2030-_-varianta-dup&#259;-Comitet-interministerial-4-octombrie-2018.pdf"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0AEF3-F488-43FA-AC93-436183A5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71</Pages>
  <Words>36480</Words>
  <Characters>207940</Characters>
  <Application>Microsoft Office Word</Application>
  <DocSecurity>0</DocSecurity>
  <Lines>1732</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dc:description/>
  <cp:lastModifiedBy>Brindusa Bordeianu</cp:lastModifiedBy>
  <cp:revision>42</cp:revision>
  <cp:lastPrinted>2025-11-07T09:41:00Z</cp:lastPrinted>
  <dcterms:created xsi:type="dcterms:W3CDTF">2024-01-15T09:22:00Z</dcterms:created>
  <dcterms:modified xsi:type="dcterms:W3CDTF">2025-11-07T09:50:00Z</dcterms:modified>
  <dc:language>ro-RO</dc:language>
</cp:coreProperties>
</file>